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CC7" w:rsidRPr="00AC3DA1" w:rsidRDefault="001F1ED1" w:rsidP="001F1ED1">
      <w:pPr>
        <w:jc w:val="center"/>
        <w:rPr>
          <w:rFonts w:asciiTheme="majorHAnsi" w:hAnsiTheme="majorHAnsi"/>
          <w:b/>
          <w:u w:val="single"/>
          <w:lang w:val="en-US"/>
        </w:rPr>
      </w:pPr>
      <w:r w:rsidRPr="00AC3DA1">
        <w:rPr>
          <w:rFonts w:asciiTheme="majorHAnsi" w:hAnsiTheme="majorHAnsi"/>
          <w:b/>
          <w:u w:val="single"/>
          <w:lang w:val="en-US"/>
        </w:rPr>
        <w:t>GHD</w:t>
      </w:r>
      <w:r w:rsidR="000A3817" w:rsidRPr="00AC3DA1">
        <w:rPr>
          <w:rFonts w:asciiTheme="majorHAnsi" w:hAnsiTheme="majorHAnsi"/>
          <w:b/>
          <w:u w:val="single"/>
          <w:lang w:val="en-US"/>
        </w:rPr>
        <w:t xml:space="preserve"> 2016-2018</w:t>
      </w:r>
    </w:p>
    <w:p w:rsidR="001F1ED1" w:rsidRPr="00AC3DA1" w:rsidRDefault="001F1ED1" w:rsidP="001F1ED1">
      <w:pPr>
        <w:jc w:val="center"/>
        <w:rPr>
          <w:rFonts w:asciiTheme="majorHAnsi" w:eastAsia="Times New Roman" w:hAnsiTheme="majorHAnsi" w:cs="Arial"/>
          <w:b/>
          <w:sz w:val="20"/>
          <w:szCs w:val="20"/>
        </w:rPr>
      </w:pPr>
      <w:r w:rsidRPr="00AC3DA1">
        <w:rPr>
          <w:rFonts w:asciiTheme="majorHAnsi" w:hAnsiTheme="majorHAnsi"/>
          <w:b/>
          <w:i/>
          <w:lang w:val="en-US"/>
        </w:rPr>
        <w:t>Work</w:t>
      </w:r>
      <w:r w:rsidR="0033339A" w:rsidRPr="00AC3DA1">
        <w:rPr>
          <w:rFonts w:asciiTheme="majorHAnsi" w:hAnsiTheme="majorHAnsi"/>
          <w:b/>
          <w:i/>
          <w:lang w:val="en-US"/>
        </w:rPr>
        <w:t>-</w:t>
      </w:r>
      <w:r w:rsidR="000A3817" w:rsidRPr="00AC3DA1">
        <w:rPr>
          <w:rFonts w:asciiTheme="majorHAnsi" w:hAnsiTheme="majorHAnsi"/>
          <w:b/>
          <w:i/>
          <w:lang w:val="en-US"/>
        </w:rPr>
        <w:t>stream 2.2</w:t>
      </w:r>
      <w:r w:rsidRPr="00AC3DA1">
        <w:rPr>
          <w:rFonts w:asciiTheme="majorHAnsi" w:hAnsiTheme="majorHAnsi"/>
          <w:b/>
          <w:lang w:val="en-US"/>
        </w:rPr>
        <w:t xml:space="preserve"> </w:t>
      </w:r>
      <w:r w:rsidR="000A3817" w:rsidRPr="00AC3DA1">
        <w:rPr>
          <w:rFonts w:asciiTheme="majorHAnsi" w:hAnsiTheme="majorHAnsi"/>
          <w:b/>
          <w:lang w:val="en-US"/>
        </w:rPr>
        <w:t>- Incentivizing</w:t>
      </w:r>
      <w:r w:rsidR="000A3817" w:rsidRPr="00AC3DA1">
        <w:rPr>
          <w:rFonts w:asciiTheme="majorHAnsi" w:eastAsia="Times New Roman" w:hAnsiTheme="majorHAnsi" w:cs="Arial"/>
          <w:b/>
          <w:sz w:val="20"/>
          <w:szCs w:val="20"/>
        </w:rPr>
        <w:t xml:space="preserve"> greater efficiencies and effectiveness: Multi-year Planning and Financing</w:t>
      </w:r>
    </w:p>
    <w:p w:rsidR="0055792C" w:rsidRPr="00AC3DA1" w:rsidRDefault="0055792C" w:rsidP="0055792C">
      <w:pPr>
        <w:jc w:val="center"/>
        <w:rPr>
          <w:rFonts w:asciiTheme="majorHAnsi" w:hAnsiTheme="majorHAnsi"/>
          <w:i/>
          <w:lang w:val="en-US"/>
        </w:rPr>
      </w:pPr>
      <w:r w:rsidRPr="00AC3DA1">
        <w:rPr>
          <w:rFonts w:asciiTheme="majorHAnsi" w:hAnsiTheme="majorHAnsi" w:cs="Arial"/>
          <w:b/>
          <w:noProof/>
          <w:u w:val="single"/>
          <w:lang w:val="en-AU" w:eastAsia="en-AU"/>
        </w:rPr>
        <mc:AlternateContent>
          <mc:Choice Requires="wps">
            <w:drawing>
              <wp:anchor distT="0" distB="0" distL="114300" distR="114300" simplePos="0" relativeHeight="251659264" behindDoc="1" locked="0" layoutInCell="1" allowOverlap="1" wp14:anchorId="231FD301" wp14:editId="16EE954C">
                <wp:simplePos x="0" y="0"/>
                <wp:positionH relativeFrom="column">
                  <wp:posOffset>-34506</wp:posOffset>
                </wp:positionH>
                <wp:positionV relativeFrom="paragraph">
                  <wp:posOffset>47601</wp:posOffset>
                </wp:positionV>
                <wp:extent cx="6038215" cy="3476445"/>
                <wp:effectExtent l="0" t="0" r="63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3476445"/>
                        </a:xfrm>
                        <a:prstGeom prst="rect">
                          <a:avLst/>
                        </a:prstGeom>
                        <a:solidFill>
                          <a:schemeClr val="accent1">
                            <a:lumMod val="20000"/>
                            <a:lumOff val="80000"/>
                            <a:alpha val="71000"/>
                          </a:schemeClr>
                        </a:solidFill>
                        <a:ln w="9525">
                          <a:noFill/>
                          <a:miter lim="800000"/>
                          <a:headEnd/>
                          <a:tailEnd/>
                        </a:ln>
                      </wps:spPr>
                      <wps:txbx>
                        <w:txbxContent>
                          <w:p w:rsidR="0055792C" w:rsidRPr="000C0535" w:rsidRDefault="0055792C" w:rsidP="00794AFE">
                            <w:pPr>
                              <w:tabs>
                                <w:tab w:val="left" w:pos="567"/>
                              </w:tabs>
                              <w:spacing w:line="240" w:lineRule="auto"/>
                              <w:jc w:val="both"/>
                              <w:rPr>
                                <w:rFonts w:asciiTheme="majorHAnsi" w:hAnsiTheme="majorHAnsi" w:cs="Arial"/>
                              </w:rPr>
                            </w:pPr>
                            <w:r w:rsidRPr="00AC3DA1">
                              <w:rPr>
                                <w:rFonts w:asciiTheme="majorHAnsi" w:hAnsiTheme="majorHAnsi" w:cs="Arial"/>
                              </w:rPr>
                              <w:t xml:space="preserve">OVERALL GOAL: </w:t>
                            </w:r>
                            <w:r w:rsidR="000B4A42" w:rsidRPr="000B4A42">
                              <w:rPr>
                                <w:rFonts w:asciiTheme="majorHAnsi" w:hAnsiTheme="majorHAnsi" w:cs="Arial"/>
                              </w:rPr>
                              <w:t>The</w:t>
                            </w:r>
                            <w:r w:rsidR="000B4A42">
                              <w:rPr>
                                <w:rFonts w:asciiTheme="majorHAnsi" w:hAnsiTheme="majorHAnsi" w:cs="Arial"/>
                              </w:rPr>
                              <w:t xml:space="preserve"> Multi-year Planning and Financing </w:t>
                            </w:r>
                            <w:proofErr w:type="spellStart"/>
                            <w:r w:rsidR="000B4A42">
                              <w:rPr>
                                <w:rFonts w:asciiTheme="majorHAnsi" w:hAnsiTheme="majorHAnsi" w:cs="Arial"/>
                              </w:rPr>
                              <w:t>workstream</w:t>
                            </w:r>
                            <w:proofErr w:type="spellEnd"/>
                            <w:r w:rsidR="000B4A42">
                              <w:rPr>
                                <w:rFonts w:asciiTheme="majorHAnsi" w:hAnsiTheme="majorHAnsi" w:cs="Arial"/>
                              </w:rPr>
                              <w:t xml:space="preserve"> supports the</w:t>
                            </w:r>
                            <w:r w:rsidR="000B4A42" w:rsidRPr="000B4A42">
                              <w:rPr>
                                <w:rFonts w:asciiTheme="majorHAnsi" w:hAnsiTheme="majorHAnsi" w:cs="Arial"/>
                              </w:rPr>
                              <w:t xml:space="preserve"> overall objective of the</w:t>
                            </w:r>
                            <w:r w:rsidR="000B4A42">
                              <w:rPr>
                                <w:rFonts w:asciiTheme="majorHAnsi" w:hAnsiTheme="majorHAnsi" w:cs="Arial"/>
                              </w:rPr>
                              <w:t xml:space="preserve"> </w:t>
                            </w:r>
                            <w:r w:rsidR="000B4A42" w:rsidRPr="000B4A42">
                              <w:rPr>
                                <w:rFonts w:asciiTheme="majorHAnsi" w:hAnsiTheme="majorHAnsi" w:cs="Arial"/>
                              </w:rPr>
                              <w:t>work plan</w:t>
                            </w:r>
                            <w:r w:rsidR="000B4A42">
                              <w:rPr>
                                <w:rFonts w:asciiTheme="majorHAnsi" w:hAnsiTheme="majorHAnsi" w:cs="Arial"/>
                              </w:rPr>
                              <w:t xml:space="preserve"> Good Humanitarian </w:t>
                            </w:r>
                            <w:proofErr w:type="spellStart"/>
                            <w:r w:rsidR="000B4A42">
                              <w:rPr>
                                <w:rFonts w:asciiTheme="majorHAnsi" w:hAnsiTheme="majorHAnsi" w:cs="Arial"/>
                              </w:rPr>
                              <w:t>Donorship</w:t>
                            </w:r>
                            <w:bookmarkStart w:id="0" w:name="_GoBack"/>
                            <w:bookmarkEnd w:id="0"/>
                            <w:proofErr w:type="spellEnd"/>
                            <w:r w:rsidR="000B4A42">
                              <w:rPr>
                                <w:rFonts w:asciiTheme="majorHAnsi" w:hAnsiTheme="majorHAnsi" w:cs="Arial"/>
                              </w:rPr>
                              <w:t xml:space="preserve"> group, which i</w:t>
                            </w:r>
                            <w:r w:rsidR="000B4A42" w:rsidRPr="000B4A42">
                              <w:rPr>
                                <w:rFonts w:asciiTheme="majorHAnsi" w:hAnsiTheme="majorHAnsi" w:cs="Arial"/>
                              </w:rPr>
                              <w:t>s to support donors in implementing their World Humanitarian Summit commitments and GHD principles and operational best practices, all of which aim to improve the quality and impact of humanitarian assistance.  The work plan reflects GHD’s mandate to support mutual learning and encourage donor behaviour that furthers principled humanitarian action.  Each agreed theme represents an area in which changed donor practice can help improve humanitarian outcomes.</w:t>
                            </w:r>
                          </w:p>
                          <w:p w:rsidR="00272A57" w:rsidRPr="00AC3DA1" w:rsidRDefault="00272A57" w:rsidP="00794AFE">
                            <w:pPr>
                              <w:tabs>
                                <w:tab w:val="left" w:pos="567"/>
                              </w:tabs>
                              <w:spacing w:line="240" w:lineRule="auto"/>
                              <w:jc w:val="both"/>
                              <w:rPr>
                                <w:rFonts w:asciiTheme="majorHAnsi" w:hAnsiTheme="majorHAnsi" w:cs="Arial"/>
                                <w:lang w:val="en-US"/>
                              </w:rPr>
                            </w:pPr>
                            <w:r>
                              <w:rPr>
                                <w:rFonts w:asciiTheme="majorHAnsi" w:hAnsiTheme="majorHAnsi" w:cs="Arial"/>
                                <w:lang w:val="en-US"/>
                              </w:rPr>
                              <w:t xml:space="preserve">In keeping with GHD’s mandate </w:t>
                            </w:r>
                            <w:r w:rsidR="00137B59">
                              <w:rPr>
                                <w:rFonts w:asciiTheme="majorHAnsi" w:hAnsiTheme="majorHAnsi" w:cs="Arial"/>
                                <w:lang w:val="en-US"/>
                              </w:rPr>
                              <w:t xml:space="preserve">and objective </w:t>
                            </w:r>
                            <w:r>
                              <w:rPr>
                                <w:rFonts w:asciiTheme="majorHAnsi" w:hAnsiTheme="majorHAnsi" w:cs="Arial"/>
                                <w:lang w:val="en-US"/>
                              </w:rPr>
                              <w:t xml:space="preserve">to support mutual learning and encourage donor behavior that furthers principled humanitarian action </w:t>
                            </w:r>
                            <w:r w:rsidR="00137B59">
                              <w:rPr>
                                <w:rFonts w:asciiTheme="majorHAnsi" w:hAnsiTheme="majorHAnsi" w:cs="Arial"/>
                                <w:lang w:val="en-US"/>
                              </w:rPr>
                              <w:t xml:space="preserve">this </w:t>
                            </w:r>
                            <w:proofErr w:type="spellStart"/>
                            <w:r w:rsidR="00137B59">
                              <w:rPr>
                                <w:rFonts w:asciiTheme="majorHAnsi" w:hAnsiTheme="majorHAnsi" w:cs="Arial"/>
                                <w:lang w:val="en-US"/>
                              </w:rPr>
                              <w:t>workstream</w:t>
                            </w:r>
                            <w:proofErr w:type="spellEnd"/>
                            <w:r w:rsidR="00137B59">
                              <w:rPr>
                                <w:rFonts w:asciiTheme="majorHAnsi" w:hAnsiTheme="majorHAnsi" w:cs="Arial"/>
                                <w:lang w:val="en-US"/>
                              </w:rPr>
                              <w:t xml:space="preserve"> will</w:t>
                            </w:r>
                            <w:r>
                              <w:rPr>
                                <w:rFonts w:asciiTheme="majorHAnsi" w:hAnsiTheme="majorHAnsi" w:cs="Arial"/>
                                <w:lang w:val="en-US"/>
                              </w:rPr>
                              <w:t xml:space="preserve">: </w:t>
                            </w:r>
                          </w:p>
                          <w:p w:rsidR="0055792C" w:rsidRDefault="00272A57" w:rsidP="000C0535">
                            <w:pPr>
                              <w:pStyle w:val="ListParagraph"/>
                              <w:numPr>
                                <w:ilvl w:val="0"/>
                                <w:numId w:val="16"/>
                              </w:numPr>
                              <w:tabs>
                                <w:tab w:val="left" w:pos="284"/>
                              </w:tabs>
                              <w:ind w:left="709"/>
                              <w:jc w:val="both"/>
                              <w:rPr>
                                <w:rFonts w:asciiTheme="majorHAnsi" w:hAnsiTheme="majorHAnsi" w:cs="Arial"/>
                              </w:rPr>
                            </w:pPr>
                            <w:r>
                              <w:rPr>
                                <w:rFonts w:asciiTheme="majorHAnsi" w:hAnsiTheme="majorHAnsi" w:cs="Arial"/>
                              </w:rPr>
                              <w:t>Share experiences regarding</w:t>
                            </w:r>
                            <w:r w:rsidRPr="00AC3DA1">
                              <w:rPr>
                                <w:rFonts w:asciiTheme="majorHAnsi" w:hAnsiTheme="majorHAnsi" w:cs="Arial"/>
                              </w:rPr>
                              <w:t xml:space="preserve"> </w:t>
                            </w:r>
                            <w:r w:rsidR="0055792C" w:rsidRPr="00AC3DA1">
                              <w:rPr>
                                <w:rFonts w:asciiTheme="majorHAnsi" w:hAnsiTheme="majorHAnsi" w:cs="Arial"/>
                              </w:rPr>
                              <w:t xml:space="preserve">multi-year, collaborative and flexible planning and multi-year funding instruments, and </w:t>
                            </w:r>
                            <w:r>
                              <w:rPr>
                                <w:rFonts w:asciiTheme="majorHAnsi" w:hAnsiTheme="majorHAnsi" w:cs="Arial"/>
                              </w:rPr>
                              <w:t>(</w:t>
                            </w:r>
                            <w:r w:rsidR="0055792C" w:rsidRPr="00AC3DA1">
                              <w:rPr>
                                <w:rFonts w:asciiTheme="majorHAnsi" w:hAnsiTheme="majorHAnsi" w:cs="Arial"/>
                              </w:rPr>
                              <w:t>document</w:t>
                            </w:r>
                            <w:r>
                              <w:rPr>
                                <w:rFonts w:asciiTheme="majorHAnsi" w:hAnsiTheme="majorHAnsi" w:cs="Arial"/>
                              </w:rPr>
                              <w:t xml:space="preserve"> Wondering what activity you would propose regarding documentation –</w:t>
                            </w:r>
                            <w:r w:rsidR="00137B59">
                              <w:rPr>
                                <w:rFonts w:asciiTheme="majorHAnsi" w:hAnsiTheme="majorHAnsi" w:cs="Arial"/>
                              </w:rPr>
                              <w:t xml:space="preserve"> would it be better to say “dissemination of evidence and learning with regards to …</w:t>
                            </w:r>
                            <w:r>
                              <w:rPr>
                                <w:rFonts w:asciiTheme="majorHAnsi" w:hAnsiTheme="majorHAnsi" w:cs="Arial"/>
                              </w:rPr>
                              <w:t>)</w:t>
                            </w:r>
                            <w:r w:rsidR="0055792C" w:rsidRPr="00AC3DA1">
                              <w:rPr>
                                <w:rFonts w:asciiTheme="majorHAnsi" w:hAnsiTheme="majorHAnsi" w:cs="Arial"/>
                              </w:rPr>
                              <w:t xml:space="preserve"> the impact on program efficiency and effectiveness;</w:t>
                            </w:r>
                          </w:p>
                          <w:p w:rsidR="00137B59" w:rsidRPr="00AC3DA1" w:rsidRDefault="00C70981" w:rsidP="000C0535">
                            <w:pPr>
                              <w:pStyle w:val="ListParagraph"/>
                              <w:numPr>
                                <w:ilvl w:val="0"/>
                                <w:numId w:val="16"/>
                              </w:numPr>
                              <w:tabs>
                                <w:tab w:val="left" w:pos="284"/>
                              </w:tabs>
                              <w:ind w:left="709"/>
                              <w:jc w:val="both"/>
                              <w:rPr>
                                <w:rFonts w:asciiTheme="majorHAnsi" w:hAnsiTheme="majorHAnsi" w:cs="Arial"/>
                              </w:rPr>
                            </w:pPr>
                            <w:r>
                              <w:rPr>
                                <w:rFonts w:asciiTheme="majorHAnsi" w:hAnsiTheme="majorHAnsi" w:cs="Arial"/>
                              </w:rPr>
                              <w:t>Facilitate</w:t>
                            </w:r>
                            <w:r w:rsidR="00137B59">
                              <w:rPr>
                                <w:rFonts w:asciiTheme="majorHAnsi" w:hAnsiTheme="majorHAnsi" w:cs="Arial"/>
                              </w:rPr>
                              <w:t xml:space="preserve"> dialogue between humanitarian agencies and GHD member</w:t>
                            </w:r>
                            <w:r>
                              <w:rPr>
                                <w:rFonts w:asciiTheme="majorHAnsi" w:hAnsiTheme="majorHAnsi" w:cs="Arial"/>
                              </w:rPr>
                              <w:t>s during the evolution of multi-</w:t>
                            </w:r>
                            <w:r w:rsidR="00137B59">
                              <w:rPr>
                                <w:rFonts w:asciiTheme="majorHAnsi" w:hAnsiTheme="majorHAnsi" w:cs="Arial"/>
                              </w:rPr>
                              <w:t>year approaches;</w:t>
                            </w:r>
                          </w:p>
                          <w:p w:rsidR="0055792C" w:rsidRPr="00AC3DA1" w:rsidRDefault="00137B59" w:rsidP="000C0535">
                            <w:pPr>
                              <w:pStyle w:val="ListParagraph"/>
                              <w:numPr>
                                <w:ilvl w:val="0"/>
                                <w:numId w:val="16"/>
                              </w:numPr>
                              <w:tabs>
                                <w:tab w:val="left" w:pos="284"/>
                              </w:tabs>
                              <w:ind w:left="709"/>
                              <w:jc w:val="both"/>
                              <w:rPr>
                                <w:rFonts w:asciiTheme="majorHAnsi" w:hAnsiTheme="majorHAnsi" w:cs="Arial"/>
                              </w:rPr>
                            </w:pPr>
                            <w:r>
                              <w:rPr>
                                <w:rFonts w:asciiTheme="majorHAnsi" w:hAnsiTheme="majorHAnsi" w:cs="Arial"/>
                              </w:rPr>
                              <w:t>C</w:t>
                            </w:r>
                            <w:r w:rsidR="0055792C" w:rsidRPr="00AC3DA1">
                              <w:rPr>
                                <w:rFonts w:asciiTheme="majorHAnsi" w:hAnsiTheme="majorHAnsi" w:cs="Arial"/>
                              </w:rPr>
                              <w:t>oordinat</w:t>
                            </w:r>
                            <w:r>
                              <w:rPr>
                                <w:rFonts w:asciiTheme="majorHAnsi" w:hAnsiTheme="majorHAnsi" w:cs="Arial"/>
                              </w:rPr>
                              <w:t>e</w:t>
                            </w:r>
                            <w:r w:rsidR="0055792C" w:rsidRPr="00AC3DA1">
                              <w:rPr>
                                <w:rFonts w:asciiTheme="majorHAnsi" w:hAnsiTheme="majorHAnsi" w:cs="Arial"/>
                              </w:rPr>
                              <w:t xml:space="preserve"> </w:t>
                            </w:r>
                            <w:r>
                              <w:rPr>
                                <w:rFonts w:asciiTheme="majorHAnsi" w:hAnsiTheme="majorHAnsi" w:cs="Arial"/>
                              </w:rPr>
                              <w:t xml:space="preserve">with other </w:t>
                            </w:r>
                            <w:proofErr w:type="spellStart"/>
                            <w:r>
                              <w:rPr>
                                <w:rFonts w:asciiTheme="majorHAnsi" w:hAnsiTheme="majorHAnsi" w:cs="Arial"/>
                              </w:rPr>
                              <w:t>workstreams</w:t>
                            </w:r>
                            <w:proofErr w:type="spellEnd"/>
                            <w:r>
                              <w:rPr>
                                <w:rFonts w:asciiTheme="majorHAnsi" w:hAnsiTheme="majorHAnsi" w:cs="Arial"/>
                              </w:rPr>
                              <w:t xml:space="preserve"> noting the links to strengthening coordination </w:t>
                            </w:r>
                            <w:r w:rsidR="0055792C" w:rsidRPr="00AC3DA1">
                              <w:rPr>
                                <w:rFonts w:asciiTheme="majorHAnsi" w:hAnsiTheme="majorHAnsi" w:cs="Arial"/>
                              </w:rPr>
                              <w:t>efforts between humanitarian and development sectors to share analysis of needs and risks, and better align p</w:t>
                            </w:r>
                            <w:r w:rsidR="00AC3DA1" w:rsidRPr="00AC3DA1">
                              <w:rPr>
                                <w:rFonts w:asciiTheme="majorHAnsi" w:hAnsiTheme="majorHAnsi" w:cs="Arial"/>
                              </w:rPr>
                              <w:t>lanning tools and interventions</w:t>
                            </w:r>
                            <w:r>
                              <w:rPr>
                                <w:rFonts w:asciiTheme="majorHAnsi" w:hAnsiTheme="majorHAnsi" w:cs="Arial"/>
                              </w:rPr>
                              <w:t>, among others</w:t>
                            </w:r>
                            <w:r w:rsidR="00AC3DA1" w:rsidRPr="00AC3DA1">
                              <w:rPr>
                                <w:rFonts w:asciiTheme="majorHAnsi" w:hAnsiTheme="majorHAnsi" w:cs="Arial"/>
                              </w:rPr>
                              <w:t>.</w:t>
                            </w:r>
                          </w:p>
                          <w:p w:rsidR="0055792C" w:rsidRPr="000B5F78" w:rsidRDefault="0055792C" w:rsidP="0055792C">
                            <w:pPr>
                              <w:pStyle w:val="ListParagraph"/>
                              <w:tabs>
                                <w:tab w:val="left" w:pos="709"/>
                              </w:tabs>
                              <w:ind w:left="1069"/>
                              <w:jc w:val="both"/>
                              <w:rPr>
                                <w:rFonts w:cs="Arial"/>
                              </w:rPr>
                            </w:pPr>
                          </w:p>
                          <w:p w:rsidR="0055792C" w:rsidRPr="00AC3DA1" w:rsidRDefault="0055792C" w:rsidP="00AC3DA1">
                            <w:pPr>
                              <w:tabs>
                                <w:tab w:val="left" w:pos="709"/>
                              </w:tabs>
                              <w:jc w:val="both"/>
                              <w:rPr>
                                <w:rFonts w:cs="Arial"/>
                                <w:highlight w:val="yellow"/>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pt;margin-top:3.75pt;width:475.45pt;height:27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" fillcolor="#dbe5f1 [660]" stroked="f">
                <v:fill opacity="46517f"/>
                <v:textbox>
                  <w:txbxContent>
                    <w:p w:rsidR="0055792C" w:rsidRPr="000C0535" w:rsidRDefault="0055792C" w:rsidP="00794AFE">
                      <w:pPr>
                        <w:tabs>
                          <w:tab w:val="left" w:pos="567"/>
                        </w:tabs>
                        <w:spacing w:line="240" w:lineRule="auto"/>
                        <w:jc w:val="both"/>
                        <w:rPr>
                          <w:rFonts w:asciiTheme="majorHAnsi" w:hAnsiTheme="majorHAnsi" w:cs="Arial"/>
                        </w:rPr>
                      </w:pPr>
                      <w:r w:rsidRPr="00AC3DA1">
                        <w:rPr>
                          <w:rFonts w:asciiTheme="majorHAnsi" w:hAnsiTheme="majorHAnsi" w:cs="Arial"/>
                        </w:rPr>
                        <w:t xml:space="preserve">OVERALL GOAL: </w:t>
                      </w:r>
                      <w:r w:rsidR="000B4A42" w:rsidRPr="000B4A42">
                        <w:rPr>
                          <w:rFonts w:asciiTheme="majorHAnsi" w:hAnsiTheme="majorHAnsi" w:cs="Arial"/>
                        </w:rPr>
                        <w:t>The</w:t>
                      </w:r>
                      <w:r w:rsidR="000B4A42">
                        <w:rPr>
                          <w:rFonts w:asciiTheme="majorHAnsi" w:hAnsiTheme="majorHAnsi" w:cs="Arial"/>
                        </w:rPr>
                        <w:t xml:space="preserve"> Multi-year Planning and Financing </w:t>
                      </w:r>
                      <w:proofErr w:type="spellStart"/>
                      <w:r w:rsidR="000B4A42">
                        <w:rPr>
                          <w:rFonts w:asciiTheme="majorHAnsi" w:hAnsiTheme="majorHAnsi" w:cs="Arial"/>
                        </w:rPr>
                        <w:t>workstream</w:t>
                      </w:r>
                      <w:proofErr w:type="spellEnd"/>
                      <w:r w:rsidR="000B4A42">
                        <w:rPr>
                          <w:rFonts w:asciiTheme="majorHAnsi" w:hAnsiTheme="majorHAnsi" w:cs="Arial"/>
                        </w:rPr>
                        <w:t xml:space="preserve"> supports the</w:t>
                      </w:r>
                      <w:r w:rsidR="000B4A42" w:rsidRPr="000B4A42">
                        <w:rPr>
                          <w:rFonts w:asciiTheme="majorHAnsi" w:hAnsiTheme="majorHAnsi" w:cs="Arial"/>
                        </w:rPr>
                        <w:t xml:space="preserve"> overall objective of the</w:t>
                      </w:r>
                      <w:r w:rsidR="000B4A42">
                        <w:rPr>
                          <w:rFonts w:asciiTheme="majorHAnsi" w:hAnsiTheme="majorHAnsi" w:cs="Arial"/>
                        </w:rPr>
                        <w:t xml:space="preserve"> </w:t>
                      </w:r>
                      <w:r w:rsidR="000B4A42" w:rsidRPr="000B4A42">
                        <w:rPr>
                          <w:rFonts w:asciiTheme="majorHAnsi" w:hAnsiTheme="majorHAnsi" w:cs="Arial"/>
                        </w:rPr>
                        <w:t>work plan</w:t>
                      </w:r>
                      <w:r w:rsidR="000B4A42">
                        <w:rPr>
                          <w:rFonts w:asciiTheme="majorHAnsi" w:hAnsiTheme="majorHAnsi" w:cs="Arial"/>
                        </w:rPr>
                        <w:t xml:space="preserve"> Good Humanitarian </w:t>
                      </w:r>
                      <w:proofErr w:type="spellStart"/>
                      <w:r w:rsidR="000B4A42">
                        <w:rPr>
                          <w:rFonts w:asciiTheme="majorHAnsi" w:hAnsiTheme="majorHAnsi" w:cs="Arial"/>
                        </w:rPr>
                        <w:t>Donorship</w:t>
                      </w:r>
                      <w:proofErr w:type="spellEnd"/>
                      <w:r w:rsidR="000B4A42">
                        <w:rPr>
                          <w:rFonts w:asciiTheme="majorHAnsi" w:hAnsiTheme="majorHAnsi" w:cs="Arial"/>
                        </w:rPr>
                        <w:t xml:space="preserve"> group, which i</w:t>
                      </w:r>
                      <w:r w:rsidR="000B4A42" w:rsidRPr="000B4A42">
                        <w:rPr>
                          <w:rFonts w:asciiTheme="majorHAnsi" w:hAnsiTheme="majorHAnsi" w:cs="Arial"/>
                        </w:rPr>
                        <w:t>s to support donors in implementing their World Humanitarian Summit commitments and GHD principles and operational best practices, all of which aim to improve the quality and impact of humanitarian assistance.  The work plan reflects GHD’s mandate to support mutual learning and encourage donor behaviour that furthers principled humanitarian action.  Each agreed theme represents an area in which changed donor practice can help improve humanitarian outcomes.</w:t>
                      </w:r>
                    </w:p>
                    <w:p w:rsidR="00272A57" w:rsidRPr="00AC3DA1" w:rsidRDefault="00272A57" w:rsidP="00794AFE">
                      <w:pPr>
                        <w:tabs>
                          <w:tab w:val="left" w:pos="567"/>
                        </w:tabs>
                        <w:spacing w:line="240" w:lineRule="auto"/>
                        <w:jc w:val="both"/>
                        <w:rPr>
                          <w:rFonts w:asciiTheme="majorHAnsi" w:hAnsiTheme="majorHAnsi" w:cs="Arial"/>
                          <w:lang w:val="en-US"/>
                        </w:rPr>
                      </w:pPr>
                      <w:r>
                        <w:rPr>
                          <w:rFonts w:asciiTheme="majorHAnsi" w:hAnsiTheme="majorHAnsi" w:cs="Arial"/>
                          <w:lang w:val="en-US"/>
                        </w:rPr>
                        <w:t xml:space="preserve">In keeping with GHD’s mandate </w:t>
                      </w:r>
                      <w:r w:rsidR="00137B59">
                        <w:rPr>
                          <w:rFonts w:asciiTheme="majorHAnsi" w:hAnsiTheme="majorHAnsi" w:cs="Arial"/>
                          <w:lang w:val="en-US"/>
                        </w:rPr>
                        <w:t xml:space="preserve">and objective </w:t>
                      </w:r>
                      <w:r>
                        <w:rPr>
                          <w:rFonts w:asciiTheme="majorHAnsi" w:hAnsiTheme="majorHAnsi" w:cs="Arial"/>
                          <w:lang w:val="en-US"/>
                        </w:rPr>
                        <w:t xml:space="preserve">to support mutual learning and encourage donor behavior that furthers principled humanitarian action </w:t>
                      </w:r>
                      <w:r w:rsidR="00137B59">
                        <w:rPr>
                          <w:rFonts w:asciiTheme="majorHAnsi" w:hAnsiTheme="majorHAnsi" w:cs="Arial"/>
                          <w:lang w:val="en-US"/>
                        </w:rPr>
                        <w:t xml:space="preserve">this </w:t>
                      </w:r>
                      <w:proofErr w:type="spellStart"/>
                      <w:r w:rsidR="00137B59">
                        <w:rPr>
                          <w:rFonts w:asciiTheme="majorHAnsi" w:hAnsiTheme="majorHAnsi" w:cs="Arial"/>
                          <w:lang w:val="en-US"/>
                        </w:rPr>
                        <w:t>workstream</w:t>
                      </w:r>
                      <w:proofErr w:type="spellEnd"/>
                      <w:r w:rsidR="00137B59">
                        <w:rPr>
                          <w:rFonts w:asciiTheme="majorHAnsi" w:hAnsiTheme="majorHAnsi" w:cs="Arial"/>
                          <w:lang w:val="en-US"/>
                        </w:rPr>
                        <w:t xml:space="preserve"> will</w:t>
                      </w:r>
                      <w:r>
                        <w:rPr>
                          <w:rFonts w:asciiTheme="majorHAnsi" w:hAnsiTheme="majorHAnsi" w:cs="Arial"/>
                          <w:lang w:val="en-US"/>
                        </w:rPr>
                        <w:t xml:space="preserve">: </w:t>
                      </w:r>
                    </w:p>
                    <w:p w:rsidR="0055792C" w:rsidRDefault="00272A57" w:rsidP="000C0535">
                      <w:pPr>
                        <w:pStyle w:val="ListParagraph"/>
                        <w:numPr>
                          <w:ilvl w:val="0"/>
                          <w:numId w:val="16"/>
                        </w:numPr>
                        <w:tabs>
                          <w:tab w:val="left" w:pos="284"/>
                        </w:tabs>
                        <w:ind w:left="709"/>
                        <w:jc w:val="both"/>
                        <w:rPr>
                          <w:rFonts w:asciiTheme="majorHAnsi" w:hAnsiTheme="majorHAnsi" w:cs="Arial"/>
                        </w:rPr>
                      </w:pPr>
                      <w:r>
                        <w:rPr>
                          <w:rFonts w:asciiTheme="majorHAnsi" w:hAnsiTheme="majorHAnsi" w:cs="Arial"/>
                        </w:rPr>
                        <w:t>Share experiences regarding</w:t>
                      </w:r>
                      <w:r w:rsidRPr="00AC3DA1">
                        <w:rPr>
                          <w:rFonts w:asciiTheme="majorHAnsi" w:hAnsiTheme="majorHAnsi" w:cs="Arial"/>
                        </w:rPr>
                        <w:t xml:space="preserve"> </w:t>
                      </w:r>
                      <w:r w:rsidR="0055792C" w:rsidRPr="00AC3DA1">
                        <w:rPr>
                          <w:rFonts w:asciiTheme="majorHAnsi" w:hAnsiTheme="majorHAnsi" w:cs="Arial"/>
                        </w:rPr>
                        <w:t xml:space="preserve">multi-year, collaborative and flexible planning and multi-year funding instruments, and </w:t>
                      </w:r>
                      <w:r>
                        <w:rPr>
                          <w:rFonts w:asciiTheme="majorHAnsi" w:hAnsiTheme="majorHAnsi" w:cs="Arial"/>
                        </w:rPr>
                        <w:t>(</w:t>
                      </w:r>
                      <w:r w:rsidR="0055792C" w:rsidRPr="00AC3DA1">
                        <w:rPr>
                          <w:rFonts w:asciiTheme="majorHAnsi" w:hAnsiTheme="majorHAnsi" w:cs="Arial"/>
                        </w:rPr>
                        <w:t>document</w:t>
                      </w:r>
                      <w:r>
                        <w:rPr>
                          <w:rFonts w:asciiTheme="majorHAnsi" w:hAnsiTheme="majorHAnsi" w:cs="Arial"/>
                        </w:rPr>
                        <w:t xml:space="preserve"> Wondering what activity you would propose regarding documentation –</w:t>
                      </w:r>
                      <w:r w:rsidR="00137B59">
                        <w:rPr>
                          <w:rFonts w:asciiTheme="majorHAnsi" w:hAnsiTheme="majorHAnsi" w:cs="Arial"/>
                        </w:rPr>
                        <w:t xml:space="preserve"> would it be better to say “dissemination of evidence and learning with regards to …</w:t>
                      </w:r>
                      <w:r>
                        <w:rPr>
                          <w:rFonts w:asciiTheme="majorHAnsi" w:hAnsiTheme="majorHAnsi" w:cs="Arial"/>
                        </w:rPr>
                        <w:t>)</w:t>
                      </w:r>
                      <w:r w:rsidR="0055792C" w:rsidRPr="00AC3DA1">
                        <w:rPr>
                          <w:rFonts w:asciiTheme="majorHAnsi" w:hAnsiTheme="majorHAnsi" w:cs="Arial"/>
                        </w:rPr>
                        <w:t xml:space="preserve"> the impact on program efficiency and effectiveness;</w:t>
                      </w:r>
                    </w:p>
                    <w:p w:rsidR="00137B59" w:rsidRPr="00AC3DA1" w:rsidRDefault="00C70981" w:rsidP="000C0535">
                      <w:pPr>
                        <w:pStyle w:val="ListParagraph"/>
                        <w:numPr>
                          <w:ilvl w:val="0"/>
                          <w:numId w:val="16"/>
                        </w:numPr>
                        <w:tabs>
                          <w:tab w:val="left" w:pos="284"/>
                        </w:tabs>
                        <w:ind w:left="709"/>
                        <w:jc w:val="both"/>
                        <w:rPr>
                          <w:rFonts w:asciiTheme="majorHAnsi" w:hAnsiTheme="majorHAnsi" w:cs="Arial"/>
                        </w:rPr>
                      </w:pPr>
                      <w:r>
                        <w:rPr>
                          <w:rFonts w:asciiTheme="majorHAnsi" w:hAnsiTheme="majorHAnsi" w:cs="Arial"/>
                        </w:rPr>
                        <w:t>Facilitate</w:t>
                      </w:r>
                      <w:r w:rsidR="00137B59">
                        <w:rPr>
                          <w:rFonts w:asciiTheme="majorHAnsi" w:hAnsiTheme="majorHAnsi" w:cs="Arial"/>
                        </w:rPr>
                        <w:t xml:space="preserve"> dialogue between humanitarian agencies and GHD member</w:t>
                      </w:r>
                      <w:r>
                        <w:rPr>
                          <w:rFonts w:asciiTheme="majorHAnsi" w:hAnsiTheme="majorHAnsi" w:cs="Arial"/>
                        </w:rPr>
                        <w:t>s during the evolution of multi-</w:t>
                      </w:r>
                      <w:r w:rsidR="00137B59">
                        <w:rPr>
                          <w:rFonts w:asciiTheme="majorHAnsi" w:hAnsiTheme="majorHAnsi" w:cs="Arial"/>
                        </w:rPr>
                        <w:t>year approaches;</w:t>
                      </w:r>
                    </w:p>
                    <w:p w:rsidR="0055792C" w:rsidRPr="00AC3DA1" w:rsidRDefault="00137B59" w:rsidP="000C0535">
                      <w:pPr>
                        <w:pStyle w:val="ListParagraph"/>
                        <w:numPr>
                          <w:ilvl w:val="0"/>
                          <w:numId w:val="16"/>
                        </w:numPr>
                        <w:tabs>
                          <w:tab w:val="left" w:pos="284"/>
                        </w:tabs>
                        <w:ind w:left="709"/>
                        <w:jc w:val="both"/>
                        <w:rPr>
                          <w:rFonts w:asciiTheme="majorHAnsi" w:hAnsiTheme="majorHAnsi" w:cs="Arial"/>
                        </w:rPr>
                      </w:pPr>
                      <w:r>
                        <w:rPr>
                          <w:rFonts w:asciiTheme="majorHAnsi" w:hAnsiTheme="majorHAnsi" w:cs="Arial"/>
                        </w:rPr>
                        <w:t>C</w:t>
                      </w:r>
                      <w:r w:rsidR="0055792C" w:rsidRPr="00AC3DA1">
                        <w:rPr>
                          <w:rFonts w:asciiTheme="majorHAnsi" w:hAnsiTheme="majorHAnsi" w:cs="Arial"/>
                        </w:rPr>
                        <w:t>oordinat</w:t>
                      </w:r>
                      <w:r>
                        <w:rPr>
                          <w:rFonts w:asciiTheme="majorHAnsi" w:hAnsiTheme="majorHAnsi" w:cs="Arial"/>
                        </w:rPr>
                        <w:t>e</w:t>
                      </w:r>
                      <w:r w:rsidR="0055792C" w:rsidRPr="00AC3DA1">
                        <w:rPr>
                          <w:rFonts w:asciiTheme="majorHAnsi" w:hAnsiTheme="majorHAnsi" w:cs="Arial"/>
                        </w:rPr>
                        <w:t xml:space="preserve"> </w:t>
                      </w:r>
                      <w:r>
                        <w:rPr>
                          <w:rFonts w:asciiTheme="majorHAnsi" w:hAnsiTheme="majorHAnsi" w:cs="Arial"/>
                        </w:rPr>
                        <w:t xml:space="preserve">with other </w:t>
                      </w:r>
                      <w:proofErr w:type="spellStart"/>
                      <w:r>
                        <w:rPr>
                          <w:rFonts w:asciiTheme="majorHAnsi" w:hAnsiTheme="majorHAnsi" w:cs="Arial"/>
                        </w:rPr>
                        <w:t>workstreams</w:t>
                      </w:r>
                      <w:proofErr w:type="spellEnd"/>
                      <w:r>
                        <w:rPr>
                          <w:rFonts w:asciiTheme="majorHAnsi" w:hAnsiTheme="majorHAnsi" w:cs="Arial"/>
                        </w:rPr>
                        <w:t xml:space="preserve"> noting the links to strengthening coordination </w:t>
                      </w:r>
                      <w:r w:rsidR="0055792C" w:rsidRPr="00AC3DA1">
                        <w:rPr>
                          <w:rFonts w:asciiTheme="majorHAnsi" w:hAnsiTheme="majorHAnsi" w:cs="Arial"/>
                        </w:rPr>
                        <w:t>efforts between humanitarian and development sectors to share analysis of needs and risks, and better align p</w:t>
                      </w:r>
                      <w:r w:rsidR="00AC3DA1" w:rsidRPr="00AC3DA1">
                        <w:rPr>
                          <w:rFonts w:asciiTheme="majorHAnsi" w:hAnsiTheme="majorHAnsi" w:cs="Arial"/>
                        </w:rPr>
                        <w:t>lanning tools and interventions</w:t>
                      </w:r>
                      <w:r>
                        <w:rPr>
                          <w:rFonts w:asciiTheme="majorHAnsi" w:hAnsiTheme="majorHAnsi" w:cs="Arial"/>
                        </w:rPr>
                        <w:t>, among others</w:t>
                      </w:r>
                      <w:r w:rsidR="00AC3DA1" w:rsidRPr="00AC3DA1">
                        <w:rPr>
                          <w:rFonts w:asciiTheme="majorHAnsi" w:hAnsiTheme="majorHAnsi" w:cs="Arial"/>
                        </w:rPr>
                        <w:t>.</w:t>
                      </w:r>
                    </w:p>
                    <w:p w:rsidR="0055792C" w:rsidRPr="000B5F78" w:rsidRDefault="0055792C" w:rsidP="0055792C">
                      <w:pPr>
                        <w:pStyle w:val="ListParagraph"/>
                        <w:tabs>
                          <w:tab w:val="left" w:pos="709"/>
                        </w:tabs>
                        <w:ind w:left="1069"/>
                        <w:jc w:val="both"/>
                        <w:rPr>
                          <w:rFonts w:cs="Arial"/>
                        </w:rPr>
                      </w:pPr>
                    </w:p>
                    <w:p w:rsidR="0055792C" w:rsidRPr="00AC3DA1" w:rsidRDefault="0055792C" w:rsidP="00AC3DA1">
                      <w:pPr>
                        <w:tabs>
                          <w:tab w:val="left" w:pos="709"/>
                        </w:tabs>
                        <w:jc w:val="both"/>
                        <w:rPr>
                          <w:rFonts w:cs="Arial"/>
                          <w:highlight w:val="yellow"/>
                        </w:rPr>
                      </w:pPr>
                    </w:p>
                  </w:txbxContent>
                </v:textbox>
              </v:shape>
            </w:pict>
          </mc:Fallback>
        </mc:AlternateContent>
      </w:r>
    </w:p>
    <w:p w:rsidR="0055792C" w:rsidRPr="00AC3DA1" w:rsidRDefault="0055792C" w:rsidP="00030349">
      <w:pPr>
        <w:jc w:val="both"/>
        <w:rPr>
          <w:rFonts w:asciiTheme="majorHAnsi" w:hAnsiTheme="majorHAnsi" w:cs="Arial"/>
        </w:rPr>
      </w:pPr>
    </w:p>
    <w:p w:rsidR="0055792C" w:rsidRPr="00AC3DA1" w:rsidRDefault="0055792C" w:rsidP="00030349">
      <w:pPr>
        <w:jc w:val="both"/>
        <w:rPr>
          <w:rFonts w:asciiTheme="majorHAnsi" w:hAnsiTheme="majorHAnsi" w:cs="Arial"/>
        </w:rPr>
      </w:pPr>
    </w:p>
    <w:p w:rsidR="0055792C" w:rsidRPr="00AC3DA1" w:rsidRDefault="0055792C" w:rsidP="00030349">
      <w:pPr>
        <w:jc w:val="both"/>
        <w:rPr>
          <w:rFonts w:asciiTheme="majorHAnsi" w:hAnsiTheme="majorHAnsi" w:cs="Arial"/>
        </w:rPr>
      </w:pPr>
    </w:p>
    <w:p w:rsidR="0055792C" w:rsidRPr="00AC3DA1" w:rsidRDefault="0055792C" w:rsidP="00030349">
      <w:pPr>
        <w:jc w:val="both"/>
        <w:rPr>
          <w:rFonts w:asciiTheme="majorHAnsi" w:hAnsiTheme="majorHAnsi" w:cs="Arial"/>
        </w:rPr>
      </w:pPr>
    </w:p>
    <w:p w:rsidR="0055792C" w:rsidRPr="00AC3DA1" w:rsidRDefault="0055792C" w:rsidP="00030349">
      <w:pPr>
        <w:jc w:val="both"/>
        <w:rPr>
          <w:rFonts w:asciiTheme="majorHAnsi" w:hAnsiTheme="majorHAnsi" w:cs="Arial"/>
        </w:rPr>
      </w:pPr>
    </w:p>
    <w:p w:rsidR="0055792C" w:rsidRPr="00AC3DA1" w:rsidRDefault="0055792C" w:rsidP="00030349">
      <w:pPr>
        <w:jc w:val="both"/>
        <w:rPr>
          <w:rFonts w:asciiTheme="majorHAnsi" w:hAnsiTheme="majorHAnsi" w:cs="Arial"/>
        </w:rPr>
      </w:pPr>
    </w:p>
    <w:p w:rsidR="000B4A42" w:rsidRDefault="000B4A42" w:rsidP="00794AFE">
      <w:pPr>
        <w:spacing w:line="240" w:lineRule="auto"/>
        <w:rPr>
          <w:rFonts w:asciiTheme="majorHAnsi" w:hAnsiTheme="majorHAnsi" w:cs="Arial"/>
          <w:b/>
        </w:rPr>
      </w:pPr>
    </w:p>
    <w:p w:rsidR="000B4A42" w:rsidRDefault="000B4A42" w:rsidP="00794AFE">
      <w:pPr>
        <w:spacing w:line="240" w:lineRule="auto"/>
        <w:rPr>
          <w:rFonts w:asciiTheme="majorHAnsi" w:hAnsiTheme="majorHAnsi" w:cs="Arial"/>
          <w:b/>
        </w:rPr>
      </w:pPr>
    </w:p>
    <w:p w:rsidR="000B4A42" w:rsidRDefault="000B4A42" w:rsidP="00794AFE">
      <w:pPr>
        <w:spacing w:line="240" w:lineRule="auto"/>
        <w:rPr>
          <w:rFonts w:asciiTheme="majorHAnsi" w:hAnsiTheme="majorHAnsi" w:cs="Arial"/>
          <w:b/>
        </w:rPr>
      </w:pPr>
    </w:p>
    <w:p w:rsidR="000B4A42" w:rsidRDefault="000B4A42" w:rsidP="00794AFE">
      <w:pPr>
        <w:spacing w:line="240" w:lineRule="auto"/>
        <w:rPr>
          <w:rFonts w:asciiTheme="majorHAnsi" w:hAnsiTheme="majorHAnsi" w:cs="Arial"/>
          <w:b/>
        </w:rPr>
      </w:pPr>
    </w:p>
    <w:p w:rsidR="00DB63E0" w:rsidRDefault="00DB63E0" w:rsidP="00794AFE">
      <w:pPr>
        <w:spacing w:line="240" w:lineRule="auto"/>
        <w:rPr>
          <w:rFonts w:asciiTheme="majorHAnsi" w:hAnsiTheme="majorHAnsi" w:cs="Arial"/>
          <w:b/>
          <w:u w:val="single"/>
        </w:rPr>
      </w:pPr>
    </w:p>
    <w:p w:rsidR="00AC3DA1" w:rsidRPr="0028662A" w:rsidRDefault="00AC3DA1" w:rsidP="00794AFE">
      <w:pPr>
        <w:spacing w:line="240" w:lineRule="auto"/>
        <w:rPr>
          <w:rFonts w:asciiTheme="majorHAnsi" w:hAnsiTheme="majorHAnsi" w:cs="Arial"/>
          <w:b/>
          <w:u w:val="single"/>
        </w:rPr>
      </w:pPr>
      <w:r w:rsidRPr="0028662A">
        <w:rPr>
          <w:rFonts w:asciiTheme="majorHAnsi" w:hAnsiTheme="majorHAnsi" w:cs="Arial"/>
          <w:b/>
          <w:u w:val="single"/>
        </w:rPr>
        <w:t>INTRODUCTION</w:t>
      </w:r>
    </w:p>
    <w:p w:rsidR="00030349" w:rsidRPr="00AC3DA1" w:rsidRDefault="00030349" w:rsidP="00794AFE">
      <w:pPr>
        <w:spacing w:line="240" w:lineRule="auto"/>
        <w:jc w:val="both"/>
        <w:rPr>
          <w:rFonts w:asciiTheme="majorHAnsi" w:hAnsiTheme="majorHAnsi" w:cs="Arial"/>
        </w:rPr>
      </w:pPr>
      <w:r w:rsidRPr="00AC3DA1">
        <w:rPr>
          <w:rFonts w:asciiTheme="majorHAnsi" w:hAnsiTheme="majorHAnsi" w:cs="Arial"/>
        </w:rPr>
        <w:t>Humanitarian projects usually run for relatively short time periods of up to one year. This practice seems to be increasingly inappropriate as humanitarian actors are usually delivering assistance over a longer time period, not only since protracted crises have become the "new normal". De facto, many humanitarian operations are funded through a series of projects over the years.</w:t>
      </w:r>
      <w:r w:rsidR="008C6C28" w:rsidRPr="00AC3DA1">
        <w:rPr>
          <w:rFonts w:asciiTheme="majorHAnsi" w:hAnsiTheme="majorHAnsi" w:cs="Arial"/>
        </w:rPr>
        <w:t xml:space="preserve"> </w:t>
      </w:r>
      <w:bookmarkStart w:id="1" w:name="_Ref458769576"/>
      <w:bookmarkStart w:id="2" w:name="_Ref461548959"/>
      <w:r w:rsidR="008C6C28" w:rsidRPr="00AC3DA1">
        <w:rPr>
          <w:rFonts w:asciiTheme="majorHAnsi" w:hAnsiTheme="majorHAnsi" w:cs="Arial"/>
        </w:rPr>
        <w:t>A review by DFID/CHASE in 2015</w:t>
      </w:r>
      <w:r w:rsidR="008C6C28" w:rsidRPr="00AC3DA1">
        <w:rPr>
          <w:rStyle w:val="FootnoteReference"/>
          <w:rFonts w:asciiTheme="majorHAnsi" w:hAnsiTheme="majorHAnsi" w:cs="Arial"/>
        </w:rPr>
        <w:footnoteReference w:id="1"/>
      </w:r>
      <w:bookmarkEnd w:id="1"/>
      <w:bookmarkEnd w:id="2"/>
      <w:r w:rsidR="008C6C28" w:rsidRPr="00AC3DA1">
        <w:rPr>
          <w:rFonts w:asciiTheme="majorHAnsi" w:hAnsiTheme="majorHAnsi" w:cs="Arial"/>
        </w:rPr>
        <w:t xml:space="preserve"> assessed the efficiency of annual funding approaches in the humanitarian and development sectors and have identified that annual programming often leads to i) high staff turnover; ii) short notice procurement at a high cost; iii) high transactional costs.</w:t>
      </w:r>
    </w:p>
    <w:p w:rsidR="00AC3DA1" w:rsidRPr="00AC3DA1" w:rsidRDefault="00AC3DA1" w:rsidP="00794AFE">
      <w:pPr>
        <w:spacing w:line="240" w:lineRule="auto"/>
        <w:jc w:val="both"/>
        <w:rPr>
          <w:rFonts w:asciiTheme="majorHAnsi" w:hAnsiTheme="majorHAnsi" w:cs="Arial"/>
        </w:rPr>
      </w:pPr>
      <w:r w:rsidRPr="00AC3DA1">
        <w:rPr>
          <w:rFonts w:asciiTheme="majorHAnsi" w:hAnsiTheme="majorHAnsi" w:cs="Arial"/>
        </w:rPr>
        <w:t xml:space="preserve">Multi-year </w:t>
      </w:r>
      <w:r w:rsidR="00256AD3">
        <w:rPr>
          <w:rFonts w:asciiTheme="majorHAnsi" w:hAnsiTheme="majorHAnsi" w:cs="Arial"/>
        </w:rPr>
        <w:t xml:space="preserve">planning and </w:t>
      </w:r>
      <w:r w:rsidRPr="00AC3DA1">
        <w:rPr>
          <w:rFonts w:asciiTheme="majorHAnsi" w:hAnsiTheme="majorHAnsi" w:cs="Arial"/>
        </w:rPr>
        <w:t xml:space="preserve">funding </w:t>
      </w:r>
      <w:r w:rsidR="00256AD3">
        <w:rPr>
          <w:rFonts w:asciiTheme="majorHAnsi" w:hAnsiTheme="majorHAnsi" w:cs="Arial"/>
        </w:rPr>
        <w:t>can</w:t>
      </w:r>
      <w:r w:rsidR="00256AD3" w:rsidRPr="00AC3DA1">
        <w:rPr>
          <w:rFonts w:asciiTheme="majorHAnsi" w:hAnsiTheme="majorHAnsi" w:cs="Arial"/>
        </w:rPr>
        <w:t xml:space="preserve"> </w:t>
      </w:r>
      <w:r w:rsidRPr="00AC3DA1">
        <w:rPr>
          <w:rFonts w:asciiTheme="majorHAnsi" w:hAnsiTheme="majorHAnsi" w:cs="Arial"/>
        </w:rPr>
        <w:t xml:space="preserve">target humanitarian operations in different environments and crises that vary in duration: </w:t>
      </w:r>
    </w:p>
    <w:p w:rsidR="00AC3DA1" w:rsidRPr="00AC3DA1" w:rsidRDefault="00AC3DA1" w:rsidP="000C0535">
      <w:pPr>
        <w:pStyle w:val="ListParagraph"/>
        <w:numPr>
          <w:ilvl w:val="0"/>
          <w:numId w:val="15"/>
        </w:numPr>
        <w:ind w:left="426"/>
        <w:jc w:val="both"/>
        <w:rPr>
          <w:rFonts w:asciiTheme="majorHAnsi" w:hAnsiTheme="majorHAnsi" w:cs="Arial"/>
        </w:rPr>
      </w:pPr>
      <w:r w:rsidRPr="00AC3DA1">
        <w:rPr>
          <w:rFonts w:asciiTheme="majorHAnsi" w:hAnsiTheme="majorHAnsi" w:cs="Arial"/>
        </w:rPr>
        <w:t>In</w:t>
      </w:r>
      <w:r w:rsidRPr="00AC3DA1">
        <w:rPr>
          <w:rFonts w:asciiTheme="majorHAnsi" w:hAnsiTheme="majorHAnsi" w:cs="Arial"/>
          <w:b/>
        </w:rPr>
        <w:t xml:space="preserve"> protracted crises</w:t>
      </w:r>
      <w:r w:rsidRPr="00AC3DA1">
        <w:rPr>
          <w:rFonts w:asciiTheme="majorHAnsi" w:hAnsiTheme="majorHAnsi" w:cs="Arial"/>
        </w:rPr>
        <w:t>, a significant amount of pre-planning can be undertaken to facilitate responses. However, rapid spikes of need should be taken into account when doing so</w:t>
      </w:r>
      <w:r w:rsidRPr="00AC3DA1">
        <w:rPr>
          <w:rStyle w:val="FootnoteReference"/>
          <w:rFonts w:asciiTheme="majorHAnsi" w:hAnsiTheme="majorHAnsi" w:cs="Arial"/>
        </w:rPr>
        <w:footnoteReference w:id="2"/>
      </w:r>
      <w:r w:rsidRPr="00AC3DA1">
        <w:rPr>
          <w:rFonts w:asciiTheme="majorHAnsi" w:hAnsiTheme="majorHAnsi" w:cs="Arial"/>
        </w:rPr>
        <w:t>.</w:t>
      </w:r>
    </w:p>
    <w:p w:rsidR="00AC3DA1" w:rsidRPr="00AC3DA1" w:rsidRDefault="00AC3DA1" w:rsidP="000C0535">
      <w:pPr>
        <w:pStyle w:val="ListParagraph"/>
        <w:numPr>
          <w:ilvl w:val="0"/>
          <w:numId w:val="15"/>
        </w:numPr>
        <w:ind w:left="426"/>
        <w:jc w:val="both"/>
        <w:rPr>
          <w:rFonts w:asciiTheme="majorHAnsi" w:hAnsiTheme="majorHAnsi" w:cs="Arial"/>
        </w:rPr>
      </w:pPr>
      <w:r w:rsidRPr="00AC3DA1">
        <w:rPr>
          <w:rFonts w:asciiTheme="majorHAnsi" w:hAnsiTheme="majorHAnsi" w:cs="Arial"/>
        </w:rPr>
        <w:t>In</w:t>
      </w:r>
      <w:r w:rsidRPr="00AC3DA1">
        <w:rPr>
          <w:rFonts w:asciiTheme="majorHAnsi" w:hAnsiTheme="majorHAnsi" w:cs="Arial"/>
          <w:b/>
        </w:rPr>
        <w:t xml:space="preserve"> predictable and regular rapid onset events</w:t>
      </w:r>
      <w:r w:rsidRPr="00AC3DA1">
        <w:rPr>
          <w:rFonts w:asciiTheme="majorHAnsi" w:hAnsiTheme="majorHAnsi" w:cs="Arial"/>
        </w:rPr>
        <w:t xml:space="preserve">, a pre-condition for effective multi-year funding is to have responders well informed about when and where rapid onsets of events can occur (i.e. seasonal flooding or drought). In this scenario, multi-year funding can be used for preparedness and long-term measures of risk reduction and long-term resilience building including local capacity building. </w:t>
      </w:r>
    </w:p>
    <w:p w:rsidR="00AC3DA1" w:rsidRPr="00AC3DA1" w:rsidRDefault="00AC3DA1" w:rsidP="000C0535">
      <w:pPr>
        <w:pStyle w:val="ListParagraph"/>
        <w:numPr>
          <w:ilvl w:val="0"/>
          <w:numId w:val="15"/>
        </w:numPr>
        <w:ind w:left="426"/>
        <w:jc w:val="both"/>
        <w:rPr>
          <w:rFonts w:asciiTheme="majorHAnsi" w:hAnsiTheme="majorHAnsi" w:cs="Arial"/>
          <w:b/>
          <w:u w:val="single"/>
        </w:rPr>
      </w:pPr>
      <w:r w:rsidRPr="00AC3DA1">
        <w:rPr>
          <w:rFonts w:asciiTheme="majorHAnsi" w:hAnsiTheme="majorHAnsi" w:cs="Arial"/>
        </w:rPr>
        <w:lastRenderedPageBreak/>
        <w:t xml:space="preserve">For </w:t>
      </w:r>
      <w:r w:rsidRPr="00AC3DA1">
        <w:rPr>
          <w:rFonts w:asciiTheme="majorHAnsi" w:hAnsiTheme="majorHAnsi" w:cs="Arial"/>
          <w:b/>
        </w:rPr>
        <w:t>rapid onset events</w:t>
      </w:r>
      <w:r w:rsidRPr="00AC3DA1">
        <w:rPr>
          <w:rFonts w:asciiTheme="majorHAnsi" w:hAnsiTheme="majorHAnsi" w:cs="Arial"/>
        </w:rPr>
        <w:t>,</w:t>
      </w:r>
      <w:r w:rsidRPr="00AC3DA1">
        <w:rPr>
          <w:rFonts w:asciiTheme="majorHAnsi" w:hAnsiTheme="majorHAnsi" w:cs="Arial"/>
          <w:b/>
        </w:rPr>
        <w:t xml:space="preserve"> </w:t>
      </w:r>
      <w:r w:rsidRPr="00AC3DA1">
        <w:rPr>
          <w:rFonts w:asciiTheme="majorHAnsi" w:hAnsiTheme="majorHAnsi" w:cs="Arial"/>
        </w:rPr>
        <w:t xml:space="preserve">an initial rapid response to cover the first few weeks or months would be needed in addition. A multi-year humanitarian project then ensured collaboration with and hand-over to local actors and development partners in the long-term. </w:t>
      </w:r>
    </w:p>
    <w:p w:rsidR="0028662A" w:rsidRDefault="0028662A" w:rsidP="00FF7CC8">
      <w:pPr>
        <w:spacing w:line="240" w:lineRule="auto"/>
        <w:rPr>
          <w:rFonts w:asciiTheme="majorHAnsi" w:hAnsiTheme="majorHAnsi" w:cs="Arial"/>
          <w:b/>
          <w:u w:val="single"/>
        </w:rPr>
      </w:pPr>
    </w:p>
    <w:p w:rsidR="00AC3DA1" w:rsidRPr="00FF7CC8" w:rsidRDefault="00794AFE" w:rsidP="00FF7CC8">
      <w:pPr>
        <w:spacing w:line="240" w:lineRule="auto"/>
        <w:rPr>
          <w:rFonts w:asciiTheme="majorHAnsi" w:hAnsiTheme="majorHAnsi" w:cs="Arial"/>
          <w:b/>
        </w:rPr>
      </w:pPr>
      <w:r w:rsidRPr="0028662A">
        <w:rPr>
          <w:rFonts w:asciiTheme="majorHAnsi" w:hAnsiTheme="majorHAnsi" w:cs="Arial"/>
          <w:b/>
          <w:u w:val="single"/>
        </w:rPr>
        <w:t>O</w:t>
      </w:r>
      <w:r w:rsidR="0055792C" w:rsidRPr="0028662A">
        <w:rPr>
          <w:rFonts w:asciiTheme="majorHAnsi" w:hAnsiTheme="majorHAnsi" w:cs="Arial"/>
          <w:b/>
          <w:u w:val="single"/>
        </w:rPr>
        <w:t>PPORTUNITIES</w:t>
      </w:r>
      <w:r w:rsidR="00FF7CC8">
        <w:rPr>
          <w:rFonts w:asciiTheme="majorHAnsi" w:hAnsiTheme="majorHAnsi" w:cs="Arial"/>
          <w:b/>
        </w:rPr>
        <w:br/>
      </w:r>
      <w:r w:rsidR="00AC3DA1" w:rsidRPr="00AC3DA1">
        <w:rPr>
          <w:rFonts w:asciiTheme="majorHAnsi" w:hAnsiTheme="majorHAnsi" w:cs="Arial"/>
        </w:rPr>
        <w:t xml:space="preserve">Assessments of multi-year planning and funding </w:t>
      </w:r>
      <w:r>
        <w:rPr>
          <w:rFonts w:asciiTheme="majorHAnsi" w:hAnsiTheme="majorHAnsi" w:cs="Arial"/>
        </w:rPr>
        <w:t xml:space="preserve">modalities </w:t>
      </w:r>
      <w:r w:rsidR="00AC3DA1" w:rsidRPr="00AC3DA1">
        <w:rPr>
          <w:rFonts w:asciiTheme="majorHAnsi" w:hAnsiTheme="majorHAnsi" w:cs="Arial"/>
        </w:rPr>
        <w:t>indicate that these types of operations have led to cost efficiencies and value for money gains</w:t>
      </w:r>
      <w:bookmarkStart w:id="3" w:name="_Ref461446314"/>
      <w:r w:rsidR="00AC3DA1" w:rsidRPr="00AC3DA1">
        <w:rPr>
          <w:rStyle w:val="FootnoteReference"/>
          <w:rFonts w:asciiTheme="majorHAnsi" w:hAnsiTheme="majorHAnsi" w:cs="Arial"/>
        </w:rPr>
        <w:footnoteReference w:id="3"/>
      </w:r>
      <w:bookmarkEnd w:id="3"/>
      <w:r w:rsidR="00AC3DA1" w:rsidRPr="00AC3DA1">
        <w:rPr>
          <w:rFonts w:asciiTheme="majorHAnsi" w:hAnsiTheme="majorHAnsi" w:cs="Arial"/>
        </w:rPr>
        <w:t>:</w:t>
      </w:r>
    </w:p>
    <w:p w:rsidR="00C70981" w:rsidRPr="0028662A" w:rsidRDefault="00C70981" w:rsidP="0028662A">
      <w:pPr>
        <w:jc w:val="both"/>
        <w:rPr>
          <w:rFonts w:asciiTheme="majorHAnsi" w:hAnsiTheme="majorHAnsi" w:cs="Arial"/>
          <w:b/>
        </w:rPr>
      </w:pPr>
      <w:r w:rsidRPr="0028662A">
        <w:rPr>
          <w:rFonts w:asciiTheme="majorHAnsi" w:hAnsiTheme="majorHAnsi" w:cs="Arial"/>
          <w:b/>
        </w:rPr>
        <w:t xml:space="preserve">Improved results at the outcome </w:t>
      </w:r>
      <w:r w:rsidR="000C0535" w:rsidRPr="0028662A">
        <w:rPr>
          <w:rFonts w:asciiTheme="majorHAnsi" w:hAnsiTheme="majorHAnsi" w:cs="Arial"/>
          <w:b/>
        </w:rPr>
        <w:t>level</w:t>
      </w:r>
    </w:p>
    <w:p w:rsidR="00C70981" w:rsidRDefault="00C70981" w:rsidP="000C0535">
      <w:pPr>
        <w:pStyle w:val="ListParagraph"/>
        <w:numPr>
          <w:ilvl w:val="1"/>
          <w:numId w:val="17"/>
        </w:numPr>
        <w:jc w:val="both"/>
        <w:rPr>
          <w:rFonts w:asciiTheme="majorHAnsi" w:hAnsiTheme="majorHAnsi" w:cs="Arial"/>
        </w:rPr>
      </w:pPr>
      <w:r>
        <w:rPr>
          <w:rFonts w:asciiTheme="majorHAnsi" w:hAnsiTheme="majorHAnsi" w:cs="Arial"/>
        </w:rPr>
        <w:t>Reducing vulnerability</w:t>
      </w:r>
      <w:r w:rsidR="000C0535">
        <w:rPr>
          <w:rFonts w:asciiTheme="majorHAnsi" w:hAnsiTheme="majorHAnsi" w:cs="Arial"/>
        </w:rPr>
        <w:t xml:space="preserve">: </w:t>
      </w:r>
      <w:r w:rsidR="000C0535" w:rsidRPr="00C70981">
        <w:rPr>
          <w:rFonts w:asciiTheme="majorHAnsi" w:hAnsiTheme="majorHAnsi" w:cs="Arial"/>
        </w:rPr>
        <w:t>Longer term projects allow partners to plan more strategically and adopt innovative approaches where relevant.</w:t>
      </w:r>
    </w:p>
    <w:p w:rsidR="00C70981" w:rsidRDefault="00C70981" w:rsidP="000C0535">
      <w:pPr>
        <w:pStyle w:val="ListParagraph"/>
        <w:numPr>
          <w:ilvl w:val="1"/>
          <w:numId w:val="17"/>
        </w:numPr>
        <w:jc w:val="both"/>
        <w:rPr>
          <w:rFonts w:asciiTheme="majorHAnsi" w:hAnsiTheme="majorHAnsi" w:cs="Arial"/>
        </w:rPr>
      </w:pPr>
      <w:r>
        <w:rPr>
          <w:rFonts w:asciiTheme="majorHAnsi" w:hAnsiTheme="majorHAnsi" w:cs="Arial"/>
        </w:rPr>
        <w:t>Increasing local capacities</w:t>
      </w:r>
      <w:r w:rsidR="000C0535">
        <w:rPr>
          <w:rFonts w:asciiTheme="majorHAnsi" w:hAnsiTheme="majorHAnsi" w:cs="Arial"/>
        </w:rPr>
        <w:t xml:space="preserve">: </w:t>
      </w:r>
      <w:r w:rsidR="000C0535" w:rsidRPr="00C70981">
        <w:rPr>
          <w:rFonts w:asciiTheme="majorHAnsi" w:hAnsiTheme="majorHAnsi" w:cs="Arial"/>
        </w:rPr>
        <w:t>It also helps to build the relationship with and capacity of local partners and local authorities thereby contributing to resilience.</w:t>
      </w:r>
    </w:p>
    <w:p w:rsidR="00C70981" w:rsidRDefault="00C70981" w:rsidP="000C0535">
      <w:pPr>
        <w:pStyle w:val="ListParagraph"/>
        <w:numPr>
          <w:ilvl w:val="1"/>
          <w:numId w:val="17"/>
        </w:numPr>
        <w:jc w:val="both"/>
        <w:rPr>
          <w:rFonts w:asciiTheme="majorHAnsi" w:hAnsiTheme="majorHAnsi" w:cs="Arial"/>
        </w:rPr>
      </w:pPr>
      <w:r>
        <w:rPr>
          <w:rFonts w:asciiTheme="majorHAnsi" w:hAnsiTheme="majorHAnsi" w:cs="Arial"/>
        </w:rPr>
        <w:t>Enhancing partnerships with other actors</w:t>
      </w:r>
      <w:r w:rsidR="0028662A">
        <w:rPr>
          <w:rFonts w:asciiTheme="majorHAnsi" w:hAnsiTheme="majorHAnsi" w:cs="Arial"/>
        </w:rPr>
        <w:t xml:space="preserve">: </w:t>
      </w:r>
      <w:r w:rsidR="0028662A" w:rsidRPr="00C70981">
        <w:rPr>
          <w:rFonts w:asciiTheme="majorHAnsi" w:hAnsiTheme="majorHAnsi" w:cs="Arial"/>
        </w:rPr>
        <w:t>Furthermore, collaboration with development actors could be improved with better aligned timelines.</w:t>
      </w:r>
    </w:p>
    <w:p w:rsidR="00C70981" w:rsidRDefault="00C70981" w:rsidP="00C70981">
      <w:pPr>
        <w:pStyle w:val="ListParagraph"/>
        <w:ind w:left="1440"/>
        <w:jc w:val="both"/>
        <w:rPr>
          <w:rFonts w:asciiTheme="majorHAnsi" w:hAnsiTheme="majorHAnsi" w:cs="Arial"/>
        </w:rPr>
      </w:pPr>
    </w:p>
    <w:p w:rsidR="00C70981" w:rsidRDefault="00C70981" w:rsidP="00794AFE">
      <w:pPr>
        <w:spacing w:line="240" w:lineRule="auto"/>
        <w:jc w:val="both"/>
        <w:rPr>
          <w:rFonts w:asciiTheme="majorHAnsi" w:hAnsiTheme="majorHAnsi" w:cs="Arial"/>
        </w:rPr>
      </w:pPr>
      <w:r>
        <w:rPr>
          <w:rFonts w:asciiTheme="majorHAnsi" w:hAnsiTheme="majorHAnsi" w:cs="Arial"/>
          <w:b/>
        </w:rPr>
        <w:t>Administrative and Operational Benefits</w:t>
      </w:r>
      <w:r w:rsidR="00AC3DA1" w:rsidRPr="00AC3DA1">
        <w:rPr>
          <w:rFonts w:asciiTheme="majorHAnsi" w:hAnsiTheme="majorHAnsi" w:cs="Arial"/>
          <w:b/>
        </w:rPr>
        <w:t>:</w:t>
      </w:r>
      <w:r w:rsidR="00AC3DA1" w:rsidRPr="00AC3DA1">
        <w:rPr>
          <w:rFonts w:asciiTheme="majorHAnsi" w:hAnsiTheme="majorHAnsi" w:cs="Arial"/>
        </w:rPr>
        <w:t xml:space="preserve"> </w:t>
      </w:r>
    </w:p>
    <w:p w:rsidR="00AC3DA1" w:rsidRPr="00AC3DA1" w:rsidRDefault="0028662A" w:rsidP="0028662A">
      <w:pPr>
        <w:spacing w:line="240" w:lineRule="auto"/>
        <w:jc w:val="both"/>
        <w:rPr>
          <w:rFonts w:asciiTheme="majorHAnsi" w:hAnsiTheme="majorHAnsi" w:cs="Arial"/>
        </w:rPr>
      </w:pPr>
      <w:r>
        <w:rPr>
          <w:rFonts w:asciiTheme="majorHAnsi" w:hAnsiTheme="majorHAnsi" w:cs="Arial"/>
        </w:rPr>
        <w:t>Administratively, r</w:t>
      </w:r>
      <w:r w:rsidR="00AC3DA1" w:rsidRPr="0028662A">
        <w:rPr>
          <w:rFonts w:asciiTheme="majorHAnsi" w:hAnsiTheme="majorHAnsi" w:cs="Arial"/>
        </w:rPr>
        <w:t>educed staff costs</w:t>
      </w:r>
      <w:r>
        <w:rPr>
          <w:rFonts w:asciiTheme="majorHAnsi" w:hAnsiTheme="majorHAnsi" w:cs="Arial"/>
        </w:rPr>
        <w:t xml:space="preserve"> (e.g. </w:t>
      </w:r>
      <w:r w:rsidR="00AC3DA1" w:rsidRPr="00AC3DA1">
        <w:rPr>
          <w:rFonts w:asciiTheme="majorHAnsi" w:hAnsiTheme="majorHAnsi" w:cs="Arial"/>
        </w:rPr>
        <w:t xml:space="preserve">hiring of staff, interviewing, contracting; lower wage rates </w:t>
      </w:r>
      <w:r>
        <w:rPr>
          <w:rFonts w:asciiTheme="majorHAnsi" w:hAnsiTheme="majorHAnsi" w:cs="Arial"/>
        </w:rPr>
        <w:t>for knowledgeable personnel</w:t>
      </w:r>
      <w:r w:rsidR="00AC3DA1" w:rsidRPr="00AC3DA1">
        <w:rPr>
          <w:rFonts w:asciiTheme="majorHAnsi" w:hAnsiTheme="majorHAnsi" w:cs="Arial"/>
        </w:rPr>
        <w:t>; retained institutional knowledge</w:t>
      </w:r>
      <w:r>
        <w:rPr>
          <w:rFonts w:asciiTheme="majorHAnsi" w:hAnsiTheme="majorHAnsi" w:cs="Arial"/>
        </w:rPr>
        <w:t xml:space="preserve"> etc.), i</w:t>
      </w:r>
      <w:r w:rsidR="00AC3DA1" w:rsidRPr="0028662A">
        <w:rPr>
          <w:rFonts w:asciiTheme="majorHAnsi" w:hAnsiTheme="majorHAnsi" w:cs="Arial"/>
        </w:rPr>
        <w:t>mproved currency</w:t>
      </w:r>
      <w:r w:rsidR="00AC3DA1" w:rsidRPr="00AC3DA1">
        <w:rPr>
          <w:rFonts w:asciiTheme="majorHAnsi" w:hAnsiTheme="majorHAnsi" w:cs="Arial"/>
          <w:u w:val="single"/>
        </w:rPr>
        <w:t xml:space="preserve"> </w:t>
      </w:r>
      <w:r>
        <w:rPr>
          <w:rFonts w:asciiTheme="majorHAnsi" w:hAnsiTheme="majorHAnsi" w:cs="Arial"/>
        </w:rPr>
        <w:t>conversion and reduced time for</w:t>
      </w:r>
      <w:r w:rsidR="00AC3DA1" w:rsidRPr="00AC3DA1">
        <w:rPr>
          <w:rFonts w:asciiTheme="majorHAnsi" w:hAnsiTheme="majorHAnsi" w:cs="Arial"/>
        </w:rPr>
        <w:t xml:space="preserve"> contracting </w:t>
      </w:r>
      <w:r>
        <w:rPr>
          <w:rFonts w:asciiTheme="majorHAnsi" w:hAnsiTheme="majorHAnsi" w:cs="Arial"/>
        </w:rPr>
        <w:t xml:space="preserve">are arguments that are identified opportunities. </w:t>
      </w:r>
      <w:r w:rsidR="00AC3DA1" w:rsidRPr="00AC3DA1">
        <w:rPr>
          <w:rFonts w:asciiTheme="majorHAnsi" w:hAnsiTheme="majorHAnsi" w:cs="Arial"/>
        </w:rPr>
        <w:t>Operational</w:t>
      </w:r>
      <w:r>
        <w:rPr>
          <w:rFonts w:asciiTheme="majorHAnsi" w:hAnsiTheme="majorHAnsi" w:cs="Arial"/>
        </w:rPr>
        <w:t>ly, e</w:t>
      </w:r>
      <w:r w:rsidR="00AC3DA1" w:rsidRPr="00AC3DA1">
        <w:rPr>
          <w:rFonts w:asciiTheme="majorHAnsi" w:hAnsiTheme="majorHAnsi" w:cs="Arial"/>
        </w:rPr>
        <w:t xml:space="preserve">arly </w:t>
      </w:r>
      <w:r w:rsidR="00AC3DA1" w:rsidRPr="0028662A">
        <w:rPr>
          <w:rFonts w:asciiTheme="majorHAnsi" w:hAnsiTheme="majorHAnsi" w:cs="Arial"/>
        </w:rPr>
        <w:t>procurement, pre-positioning of stocks and pooling orders</w:t>
      </w:r>
      <w:r w:rsidR="00AC3DA1" w:rsidRPr="00AC3DA1">
        <w:rPr>
          <w:rFonts w:asciiTheme="majorHAnsi" w:hAnsiTheme="majorHAnsi" w:cs="Arial"/>
          <w:u w:val="single"/>
        </w:rPr>
        <w:t xml:space="preserve"> </w:t>
      </w:r>
      <w:r w:rsidR="00AC3DA1" w:rsidRPr="00AC3DA1">
        <w:rPr>
          <w:rFonts w:asciiTheme="majorHAnsi" w:hAnsiTheme="majorHAnsi" w:cs="Arial"/>
        </w:rPr>
        <w:t>decrease costs related to logistics and transport.</w:t>
      </w:r>
      <w:r w:rsidR="00AC3DA1" w:rsidRPr="00AC3DA1">
        <w:rPr>
          <w:rStyle w:val="FootnoteReference"/>
          <w:rFonts w:asciiTheme="majorHAnsi" w:hAnsiTheme="majorHAnsi" w:cs="Arial"/>
        </w:rPr>
        <w:footnoteReference w:id="4"/>
      </w:r>
    </w:p>
    <w:p w:rsidR="00AC3DA1" w:rsidRPr="00AC3DA1" w:rsidRDefault="00AC3DA1" w:rsidP="00794AFE">
      <w:pPr>
        <w:spacing w:line="240" w:lineRule="auto"/>
        <w:jc w:val="both"/>
        <w:rPr>
          <w:rFonts w:asciiTheme="majorHAnsi" w:hAnsiTheme="majorHAnsi" w:cs="Arial"/>
        </w:rPr>
      </w:pPr>
      <w:r w:rsidRPr="00AC3DA1">
        <w:rPr>
          <w:rFonts w:asciiTheme="majorHAnsi" w:hAnsiTheme="majorHAnsi" w:cs="Arial"/>
          <w:b/>
        </w:rPr>
        <w:t>Time:</w:t>
      </w:r>
      <w:r w:rsidRPr="00AC3DA1">
        <w:rPr>
          <w:rFonts w:asciiTheme="majorHAnsi" w:hAnsiTheme="majorHAnsi" w:cs="Arial"/>
        </w:rPr>
        <w:t xml:space="preserve"> Setting up initial multi-year agreements requires more time both on partner and donor side than annual agreements in the beginning because of the complexity of their design. However, savings can be realized in subsequent years as adjustments and normal reporting is less time consuming than final reporting and submission of new proposals. </w:t>
      </w:r>
    </w:p>
    <w:p w:rsidR="00190C8C" w:rsidRPr="00AC3DA1" w:rsidRDefault="0055792C" w:rsidP="00794AFE">
      <w:pPr>
        <w:spacing w:line="240" w:lineRule="auto"/>
        <w:rPr>
          <w:rFonts w:asciiTheme="majorHAnsi" w:hAnsiTheme="majorHAnsi" w:cs="Arial"/>
          <w:b/>
        </w:rPr>
      </w:pPr>
      <w:r w:rsidRPr="00AC3DA1">
        <w:rPr>
          <w:rFonts w:asciiTheme="majorHAnsi" w:hAnsiTheme="majorHAnsi" w:cs="Arial"/>
          <w:b/>
        </w:rPr>
        <w:t>CHALLENGES</w:t>
      </w:r>
    </w:p>
    <w:p w:rsidR="00A62905" w:rsidRPr="00AC3DA1" w:rsidRDefault="00A62905" w:rsidP="00794AFE">
      <w:pPr>
        <w:spacing w:line="240" w:lineRule="auto"/>
        <w:jc w:val="both"/>
        <w:rPr>
          <w:rFonts w:asciiTheme="majorHAnsi" w:hAnsiTheme="majorHAnsi" w:cs="Arial"/>
        </w:rPr>
      </w:pPr>
      <w:r w:rsidRPr="00AC3DA1">
        <w:rPr>
          <w:rFonts w:asciiTheme="majorHAnsi" w:hAnsiTheme="majorHAnsi" w:cs="Arial"/>
        </w:rPr>
        <w:t>There are, however</w:t>
      </w:r>
      <w:r w:rsidR="00190C8C" w:rsidRPr="00AC3DA1">
        <w:rPr>
          <w:rFonts w:asciiTheme="majorHAnsi" w:hAnsiTheme="majorHAnsi" w:cs="Arial"/>
        </w:rPr>
        <w:t>, a number of caveats that need</w:t>
      </w:r>
      <w:r w:rsidRPr="00AC3DA1">
        <w:rPr>
          <w:rFonts w:asciiTheme="majorHAnsi" w:hAnsiTheme="majorHAnsi" w:cs="Arial"/>
        </w:rPr>
        <w:t xml:space="preserve"> to be taken into consideration when aiming to foster advocacy for multi-year planning and funding</w:t>
      </w:r>
      <w:r w:rsidR="00190C8C" w:rsidRPr="00AC3DA1">
        <w:rPr>
          <w:rFonts w:asciiTheme="majorHAnsi" w:hAnsiTheme="majorHAnsi" w:cs="Arial"/>
        </w:rPr>
        <w:t xml:space="preserve"> on the donor-side</w:t>
      </w:r>
      <w:r w:rsidR="006B5D38" w:rsidRPr="00AC3DA1">
        <w:rPr>
          <w:rFonts w:asciiTheme="majorHAnsi" w:hAnsiTheme="majorHAnsi" w:cs="Arial"/>
        </w:rPr>
        <w:t xml:space="preserve">, notably restrictions in the budget planning/allocation possibilities, unpredictable environments in protracted crises situations and ensuring down-streaming benefits of multi-year funding to local implementers.  </w:t>
      </w:r>
    </w:p>
    <w:p w:rsidR="00AC3DA1" w:rsidRPr="00AC3DA1" w:rsidRDefault="00AC3DA1" w:rsidP="00794AFE">
      <w:pPr>
        <w:spacing w:line="240" w:lineRule="auto"/>
        <w:jc w:val="both"/>
        <w:rPr>
          <w:rFonts w:asciiTheme="majorHAnsi" w:hAnsiTheme="majorHAnsi" w:cs="Arial"/>
        </w:rPr>
      </w:pPr>
      <w:r w:rsidRPr="00AC3DA1">
        <w:rPr>
          <w:rFonts w:asciiTheme="majorHAnsi" w:hAnsiTheme="majorHAnsi" w:cs="Arial"/>
          <w:b/>
        </w:rPr>
        <w:t>Donor Budget:</w:t>
      </w:r>
      <w:r w:rsidRPr="00AC3DA1">
        <w:rPr>
          <w:rFonts w:asciiTheme="majorHAnsi" w:hAnsiTheme="majorHAnsi" w:cs="Arial"/>
        </w:rPr>
        <w:t xml:space="preserve"> One of the main barriers is the ability of donors to commit funds for more than one year. Budgets for most donors are allocated annually. </w:t>
      </w:r>
    </w:p>
    <w:p w:rsidR="00AC3DA1" w:rsidRPr="00AC3DA1" w:rsidRDefault="00AC3DA1" w:rsidP="00794AFE">
      <w:pPr>
        <w:spacing w:line="240" w:lineRule="auto"/>
        <w:jc w:val="both"/>
        <w:rPr>
          <w:rFonts w:asciiTheme="majorHAnsi" w:hAnsiTheme="majorHAnsi" w:cs="Arial"/>
        </w:rPr>
      </w:pPr>
      <w:r w:rsidRPr="00AC3DA1">
        <w:rPr>
          <w:rFonts w:asciiTheme="majorHAnsi" w:hAnsiTheme="majorHAnsi" w:cs="Arial"/>
          <w:b/>
        </w:rPr>
        <w:t>Adjustment and control</w:t>
      </w:r>
      <w:r w:rsidRPr="00AC3DA1">
        <w:rPr>
          <w:rFonts w:asciiTheme="majorHAnsi" w:hAnsiTheme="majorHAnsi" w:cs="Arial"/>
        </w:rPr>
        <w:t>: Especially in protracted crisis settings, it is difficult to plan ahead and anticipate changes to the situation regarding needs, access and security. Project design and management arrangements (including procedures for amendments) need to be sufficiently flexible to adjust to changes. Furthermore, there are concerns that humanitarian actors/staff could be replaced by staff with more of a development background with less agility when conditions change rapidly, which has been the experience in some geographical locations in the past.</w:t>
      </w:r>
    </w:p>
    <w:p w:rsidR="00AC3DA1" w:rsidRPr="00AC3DA1" w:rsidRDefault="00AC3DA1" w:rsidP="00794AFE">
      <w:pPr>
        <w:spacing w:line="240" w:lineRule="auto"/>
        <w:jc w:val="both"/>
        <w:rPr>
          <w:rFonts w:asciiTheme="majorHAnsi" w:hAnsiTheme="majorHAnsi" w:cs="Arial"/>
        </w:rPr>
      </w:pPr>
      <w:proofErr w:type="spellStart"/>
      <w:r w:rsidRPr="00AC3DA1">
        <w:rPr>
          <w:rFonts w:asciiTheme="majorHAnsi" w:hAnsiTheme="majorHAnsi" w:cs="Arial"/>
          <w:b/>
        </w:rPr>
        <w:lastRenderedPageBreak/>
        <w:t>Downstreaming</w:t>
      </w:r>
      <w:proofErr w:type="spellEnd"/>
      <w:r w:rsidRPr="00AC3DA1">
        <w:rPr>
          <w:rFonts w:asciiTheme="majorHAnsi" w:hAnsiTheme="majorHAnsi" w:cs="Arial"/>
          <w:b/>
        </w:rPr>
        <w:t>:</w:t>
      </w:r>
      <w:r w:rsidRPr="00AC3DA1">
        <w:rPr>
          <w:rFonts w:asciiTheme="majorHAnsi" w:hAnsiTheme="majorHAnsi" w:cs="Arial"/>
        </w:rPr>
        <w:t xml:space="preserve"> The benefits of multi-year funding often remain at the level of the UN organisation or INGO and do not trickle down to local implementers. Smaller and local organisations however are the ones which are likely to benefit most from predictability of funding and longer term planning, namely in terms of building their own capacity. Large organisations have more possibilities to adjust to funding uncertainties and imbalances.</w:t>
      </w:r>
    </w:p>
    <w:p w:rsidR="00BF77A7" w:rsidRPr="00AC3DA1" w:rsidRDefault="00BF77A7" w:rsidP="0055792C">
      <w:pPr>
        <w:spacing w:line="240" w:lineRule="auto"/>
        <w:jc w:val="both"/>
        <w:rPr>
          <w:rFonts w:asciiTheme="majorHAnsi" w:hAnsiTheme="majorHAnsi" w:cs="Arial"/>
          <w:b/>
          <w:u w:val="single"/>
        </w:rPr>
      </w:pPr>
      <w:r w:rsidRPr="00AC3DA1">
        <w:rPr>
          <w:rFonts w:asciiTheme="majorHAnsi" w:hAnsiTheme="majorHAnsi" w:cs="Arial"/>
          <w:b/>
          <w:noProof/>
          <w:u w:val="single"/>
          <w:lang w:val="en-AU" w:eastAsia="en-AU"/>
        </w:rPr>
        <mc:AlternateContent>
          <mc:Choice Requires="wps">
            <w:drawing>
              <wp:anchor distT="0" distB="0" distL="114300" distR="114300" simplePos="0" relativeHeight="251661312" behindDoc="1" locked="0" layoutInCell="1" allowOverlap="1" wp14:anchorId="7071DF84" wp14:editId="5B98B56D">
                <wp:simplePos x="0" y="0"/>
                <wp:positionH relativeFrom="column">
                  <wp:posOffset>-146649</wp:posOffset>
                </wp:positionH>
                <wp:positionV relativeFrom="paragraph">
                  <wp:posOffset>123525</wp:posOffset>
                </wp:positionV>
                <wp:extent cx="6038215" cy="2018582"/>
                <wp:effectExtent l="0" t="0" r="635" b="12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215" cy="2018582"/>
                        </a:xfrm>
                        <a:prstGeom prst="rect">
                          <a:avLst/>
                        </a:prstGeom>
                        <a:solidFill>
                          <a:schemeClr val="accent1">
                            <a:lumMod val="20000"/>
                            <a:lumOff val="80000"/>
                            <a:alpha val="71000"/>
                          </a:schemeClr>
                        </a:solidFill>
                        <a:ln w="9525">
                          <a:noFill/>
                          <a:miter lim="800000"/>
                          <a:headEnd/>
                          <a:tailEnd/>
                        </a:ln>
                      </wps:spPr>
                      <wps:txbx>
                        <w:txbxContent>
                          <w:p w:rsidR="00BF77A7" w:rsidRPr="00AC3DA1" w:rsidRDefault="00BF77A7" w:rsidP="00BF77A7">
                            <w:pPr>
                              <w:spacing w:line="240" w:lineRule="auto"/>
                              <w:jc w:val="both"/>
                              <w:rPr>
                                <w:rFonts w:asciiTheme="majorHAnsi" w:hAnsiTheme="majorHAnsi" w:cs="Arial"/>
                                <w:b/>
                                <w:u w:val="single"/>
                              </w:rPr>
                            </w:pPr>
                            <w:r w:rsidRPr="00AC3DA1">
                              <w:rPr>
                                <w:rFonts w:asciiTheme="majorHAnsi" w:hAnsiTheme="majorHAnsi" w:cs="Arial"/>
                                <w:b/>
                                <w:u w:val="single"/>
                              </w:rPr>
                              <w:t>STEPS FORWARD:</w:t>
                            </w:r>
                          </w:p>
                          <w:p w:rsidR="00504D24" w:rsidRPr="00C3206D" w:rsidRDefault="00905E10" w:rsidP="00C3206D">
                            <w:pPr>
                              <w:pStyle w:val="ListParagraph"/>
                              <w:numPr>
                                <w:ilvl w:val="0"/>
                                <w:numId w:val="13"/>
                              </w:numPr>
                              <w:rPr>
                                <w:rFonts w:asciiTheme="majorHAnsi" w:hAnsiTheme="majorHAnsi" w:cs="Arial"/>
                                <w:bCs/>
                              </w:rPr>
                            </w:pPr>
                            <w:r w:rsidRPr="00C3206D">
                              <w:rPr>
                                <w:rFonts w:asciiTheme="majorHAnsi" w:hAnsiTheme="majorHAnsi" w:cs="Arial"/>
                                <w:bCs/>
                              </w:rPr>
                              <w:t>Explore</w:t>
                            </w:r>
                            <w:r w:rsidR="00504D24" w:rsidRPr="00C3206D">
                              <w:rPr>
                                <w:rFonts w:asciiTheme="majorHAnsi" w:hAnsiTheme="majorHAnsi" w:cs="Arial"/>
                                <w:bCs/>
                              </w:rPr>
                              <w:t xml:space="preserve"> how GHD members engage in multi-annual financing/planning (CAN</w:t>
                            </w:r>
                            <w:r w:rsidR="00137B59">
                              <w:rPr>
                                <w:rFonts w:asciiTheme="majorHAnsi" w:hAnsiTheme="majorHAnsi" w:cs="Arial"/>
                                <w:bCs/>
                              </w:rPr>
                              <w:t>TBD with ALNAP)</w:t>
                            </w:r>
                          </w:p>
                          <w:p w:rsidR="00924997" w:rsidRPr="00C3206D" w:rsidRDefault="00137B59" w:rsidP="00C3206D">
                            <w:pPr>
                              <w:pStyle w:val="CommentText"/>
                              <w:spacing w:after="0"/>
                              <w:jc w:val="both"/>
                              <w:rPr>
                                <w:rFonts w:asciiTheme="majorHAnsi" w:hAnsiTheme="majorHAnsi" w:cs="Arial"/>
                                <w:bCs/>
                                <w:sz w:val="22"/>
                                <w:szCs w:val="22"/>
                              </w:rPr>
                            </w:pPr>
                            <w:r>
                              <w:rPr>
                                <w:rFonts w:asciiTheme="majorHAnsi" w:hAnsiTheme="majorHAnsi" w:cs="Arial"/>
                                <w:bCs/>
                              </w:rPr>
                              <w:t xml:space="preserve">Carry out a survey of GHD members to establish a base line of current policy and practice regarding </w:t>
                            </w:r>
                            <w:r w:rsidR="00C70981">
                              <w:rPr>
                                <w:rFonts w:asciiTheme="majorHAnsi" w:hAnsiTheme="majorHAnsi" w:cs="Arial"/>
                                <w:bCs/>
                              </w:rPr>
                              <w:t>multiyear</w:t>
                            </w:r>
                            <w:r>
                              <w:rPr>
                                <w:rFonts w:asciiTheme="majorHAnsi" w:hAnsiTheme="majorHAnsi" w:cs="Arial"/>
                                <w:bCs/>
                              </w:rPr>
                              <w:t xml:space="preserve"> funding and identify barriers</w:t>
                            </w:r>
                          </w:p>
                          <w:p w:rsidR="00BF77A7" w:rsidRPr="00C70981" w:rsidRDefault="00F52DC0" w:rsidP="00C3206D">
                            <w:pPr>
                              <w:pStyle w:val="ListParagraph"/>
                              <w:numPr>
                                <w:ilvl w:val="0"/>
                                <w:numId w:val="13"/>
                              </w:numPr>
                              <w:jc w:val="both"/>
                              <w:rPr>
                                <w:rFonts w:cs="Arial"/>
                                <w:bCs/>
                                <w:lang w:val="en-CA"/>
                              </w:rPr>
                            </w:pPr>
                            <w:r w:rsidRPr="002A783E">
                              <w:rPr>
                                <w:rFonts w:asciiTheme="majorHAnsi" w:hAnsiTheme="majorHAnsi" w:cs="Arial"/>
                                <w:bCs/>
                              </w:rPr>
                              <w:t xml:space="preserve">Collect ideas on how </w:t>
                            </w:r>
                            <w:r w:rsidR="00137B59">
                              <w:rPr>
                                <w:rFonts w:asciiTheme="majorHAnsi" w:hAnsiTheme="majorHAnsi" w:cs="Arial"/>
                                <w:bCs/>
                              </w:rPr>
                              <w:t xml:space="preserve">to facilitate </w:t>
                            </w:r>
                            <w:r w:rsidRPr="002A783E">
                              <w:rPr>
                                <w:rFonts w:asciiTheme="majorHAnsi" w:hAnsiTheme="majorHAnsi" w:cs="Arial"/>
                                <w:bCs/>
                              </w:rPr>
                              <w:t xml:space="preserve">donors </w:t>
                            </w:r>
                            <w:r w:rsidR="00137B59">
                              <w:rPr>
                                <w:rFonts w:asciiTheme="majorHAnsi" w:hAnsiTheme="majorHAnsi" w:cs="Arial"/>
                                <w:bCs/>
                              </w:rPr>
                              <w:t xml:space="preserve">to more effectively carry out </w:t>
                            </w:r>
                            <w:r w:rsidRPr="002A783E">
                              <w:rPr>
                                <w:rFonts w:asciiTheme="majorHAnsi" w:hAnsiTheme="majorHAnsi" w:cs="Arial"/>
                                <w:bCs/>
                              </w:rPr>
                              <w:t>multi-annual financing</w:t>
                            </w:r>
                            <w:r w:rsidR="002A783E">
                              <w:rPr>
                                <w:rFonts w:asciiTheme="majorHAnsi" w:hAnsiTheme="majorHAnsi" w:cs="Arial"/>
                                <w:bCs/>
                              </w:rPr>
                              <w:t>.</w:t>
                            </w:r>
                          </w:p>
                          <w:p w:rsidR="00137B59" w:rsidRPr="00C3206D" w:rsidRDefault="00137B59" w:rsidP="00C3206D">
                            <w:pPr>
                              <w:pStyle w:val="ListParagraph"/>
                              <w:numPr>
                                <w:ilvl w:val="0"/>
                                <w:numId w:val="13"/>
                              </w:numPr>
                              <w:jc w:val="both"/>
                              <w:rPr>
                                <w:rFonts w:cs="Arial"/>
                                <w:bCs/>
                                <w:lang w:val="en-CA"/>
                              </w:rPr>
                            </w:pPr>
                            <w:r>
                              <w:rPr>
                                <w:rFonts w:asciiTheme="majorHAnsi" w:hAnsiTheme="majorHAnsi" w:cs="Arial"/>
                                <w:bCs/>
                              </w:rPr>
                              <w:t>Facilitate dialogue between operational agencies – TBD mid-January discussion on Evaluation of Multi Year Humanitarian Plans.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55pt;margin-top:9.75pt;width:475.45pt;height:158.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" fillcolor="#dbe5f1 [660]" stroked="f">
                <v:fill opacity="46517f"/>
                <v:textbox>
                  <w:txbxContent>
                    <w:p w:rsidR="00BF77A7" w:rsidRPr="00AC3DA1" w:rsidRDefault="00BF77A7" w:rsidP="00BF77A7">
                      <w:pPr>
                        <w:spacing w:line="240" w:lineRule="auto"/>
                        <w:jc w:val="both"/>
                        <w:rPr>
                          <w:rFonts w:asciiTheme="majorHAnsi" w:hAnsiTheme="majorHAnsi" w:cs="Arial"/>
                          <w:b/>
                          <w:u w:val="single"/>
                        </w:rPr>
                      </w:pPr>
                      <w:r w:rsidRPr="00AC3DA1">
                        <w:rPr>
                          <w:rFonts w:asciiTheme="majorHAnsi" w:hAnsiTheme="majorHAnsi" w:cs="Arial"/>
                          <w:b/>
                          <w:u w:val="single"/>
                        </w:rPr>
                        <w:t>STEPS FORWARD:</w:t>
                      </w:r>
                    </w:p>
                    <w:p w:rsidR="00504D24" w:rsidRPr="00C3206D" w:rsidRDefault="00905E10" w:rsidP="00C3206D">
                      <w:pPr>
                        <w:pStyle w:val="ListParagraph"/>
                        <w:numPr>
                          <w:ilvl w:val="0"/>
                          <w:numId w:val="13"/>
                        </w:numPr>
                        <w:rPr>
                          <w:rFonts w:asciiTheme="majorHAnsi" w:hAnsiTheme="majorHAnsi" w:cs="Arial"/>
                          <w:bCs/>
                        </w:rPr>
                      </w:pPr>
                      <w:r w:rsidRPr="00C3206D">
                        <w:rPr>
                          <w:rFonts w:asciiTheme="majorHAnsi" w:hAnsiTheme="majorHAnsi" w:cs="Arial"/>
                          <w:bCs/>
                        </w:rPr>
                        <w:t>Explore</w:t>
                      </w:r>
                      <w:r w:rsidR="00504D24" w:rsidRPr="00C3206D">
                        <w:rPr>
                          <w:rFonts w:asciiTheme="majorHAnsi" w:hAnsiTheme="majorHAnsi" w:cs="Arial"/>
                          <w:bCs/>
                        </w:rPr>
                        <w:t xml:space="preserve"> how GHD members engage in multi-annual financing/planning (CAN</w:t>
                      </w:r>
                      <w:r w:rsidR="00137B59">
                        <w:rPr>
                          <w:rFonts w:asciiTheme="majorHAnsi" w:hAnsiTheme="majorHAnsi" w:cs="Arial"/>
                          <w:bCs/>
                        </w:rPr>
                        <w:t>TBD with ALNAP)</w:t>
                      </w:r>
                    </w:p>
                    <w:p w:rsidR="00924997" w:rsidRPr="00C3206D" w:rsidRDefault="00137B59" w:rsidP="00C3206D">
                      <w:pPr>
                        <w:pStyle w:val="CommentText"/>
                        <w:spacing w:after="0"/>
                        <w:jc w:val="both"/>
                        <w:rPr>
                          <w:rFonts w:asciiTheme="majorHAnsi" w:hAnsiTheme="majorHAnsi" w:cs="Arial"/>
                          <w:bCs/>
                          <w:sz w:val="22"/>
                          <w:szCs w:val="22"/>
                        </w:rPr>
                      </w:pPr>
                      <w:r>
                        <w:rPr>
                          <w:rFonts w:asciiTheme="majorHAnsi" w:hAnsiTheme="majorHAnsi" w:cs="Arial"/>
                          <w:bCs/>
                        </w:rPr>
                        <w:t xml:space="preserve">Carry out a survey of GHD members to establish a base line of current policy and practice regarding </w:t>
                      </w:r>
                      <w:r w:rsidR="00C70981">
                        <w:rPr>
                          <w:rFonts w:asciiTheme="majorHAnsi" w:hAnsiTheme="majorHAnsi" w:cs="Arial"/>
                          <w:bCs/>
                        </w:rPr>
                        <w:t>multiyear</w:t>
                      </w:r>
                      <w:r>
                        <w:rPr>
                          <w:rFonts w:asciiTheme="majorHAnsi" w:hAnsiTheme="majorHAnsi" w:cs="Arial"/>
                          <w:bCs/>
                        </w:rPr>
                        <w:t xml:space="preserve"> funding and identify barriers</w:t>
                      </w:r>
                    </w:p>
                    <w:p w:rsidR="00BF77A7" w:rsidRPr="00C70981" w:rsidRDefault="00F52DC0" w:rsidP="00C3206D">
                      <w:pPr>
                        <w:pStyle w:val="ListParagraph"/>
                        <w:numPr>
                          <w:ilvl w:val="0"/>
                          <w:numId w:val="13"/>
                        </w:numPr>
                        <w:jc w:val="both"/>
                        <w:rPr>
                          <w:rFonts w:cs="Arial"/>
                          <w:bCs/>
                          <w:lang w:val="en-CA"/>
                        </w:rPr>
                      </w:pPr>
                      <w:r w:rsidRPr="002A783E">
                        <w:rPr>
                          <w:rFonts w:asciiTheme="majorHAnsi" w:hAnsiTheme="majorHAnsi" w:cs="Arial"/>
                          <w:bCs/>
                        </w:rPr>
                        <w:t xml:space="preserve">Collect ideas on how </w:t>
                      </w:r>
                      <w:r w:rsidR="00137B59">
                        <w:rPr>
                          <w:rFonts w:asciiTheme="majorHAnsi" w:hAnsiTheme="majorHAnsi" w:cs="Arial"/>
                          <w:bCs/>
                        </w:rPr>
                        <w:t xml:space="preserve">to facilitate </w:t>
                      </w:r>
                      <w:r w:rsidRPr="002A783E">
                        <w:rPr>
                          <w:rFonts w:asciiTheme="majorHAnsi" w:hAnsiTheme="majorHAnsi" w:cs="Arial"/>
                          <w:bCs/>
                        </w:rPr>
                        <w:t xml:space="preserve">donors </w:t>
                      </w:r>
                      <w:r w:rsidR="00137B59">
                        <w:rPr>
                          <w:rFonts w:asciiTheme="majorHAnsi" w:hAnsiTheme="majorHAnsi" w:cs="Arial"/>
                          <w:bCs/>
                        </w:rPr>
                        <w:t xml:space="preserve">to more effectively carry out </w:t>
                      </w:r>
                      <w:r w:rsidRPr="002A783E">
                        <w:rPr>
                          <w:rFonts w:asciiTheme="majorHAnsi" w:hAnsiTheme="majorHAnsi" w:cs="Arial"/>
                          <w:bCs/>
                        </w:rPr>
                        <w:t>multi-annual financing</w:t>
                      </w:r>
                      <w:r w:rsidR="002A783E">
                        <w:rPr>
                          <w:rFonts w:asciiTheme="majorHAnsi" w:hAnsiTheme="majorHAnsi" w:cs="Arial"/>
                          <w:bCs/>
                        </w:rPr>
                        <w:t>.</w:t>
                      </w:r>
                    </w:p>
                    <w:p w:rsidR="00137B59" w:rsidRPr="00C3206D" w:rsidRDefault="00137B59" w:rsidP="00C3206D">
                      <w:pPr>
                        <w:pStyle w:val="ListParagraph"/>
                        <w:numPr>
                          <w:ilvl w:val="0"/>
                          <w:numId w:val="13"/>
                        </w:numPr>
                        <w:jc w:val="both"/>
                        <w:rPr>
                          <w:rFonts w:cs="Arial"/>
                          <w:bCs/>
                          <w:lang w:val="en-CA"/>
                        </w:rPr>
                      </w:pPr>
                      <w:r>
                        <w:rPr>
                          <w:rFonts w:asciiTheme="majorHAnsi" w:hAnsiTheme="majorHAnsi" w:cs="Arial"/>
                          <w:bCs/>
                        </w:rPr>
                        <w:t>Facilitate dialogue between operational agencies – TBD mid-January discussion on Evaluation of Multi Year Humanitarian Plans.</w:t>
                      </w:r>
                    </w:p>
                  </w:txbxContent>
                </v:textbox>
              </v:shape>
            </w:pict>
          </mc:Fallback>
        </mc:AlternateContent>
      </w:r>
    </w:p>
    <w:p w:rsidR="00BF77A7" w:rsidRPr="00AC3DA1" w:rsidRDefault="00BF77A7" w:rsidP="0055792C">
      <w:pPr>
        <w:spacing w:line="240" w:lineRule="auto"/>
        <w:jc w:val="both"/>
        <w:rPr>
          <w:rFonts w:asciiTheme="majorHAnsi" w:hAnsiTheme="majorHAnsi" w:cs="Arial"/>
          <w:b/>
          <w:u w:val="single"/>
        </w:rPr>
      </w:pPr>
    </w:p>
    <w:p w:rsidR="00BF77A7" w:rsidRPr="00AC3DA1" w:rsidRDefault="00BF77A7" w:rsidP="0055792C">
      <w:pPr>
        <w:spacing w:line="240" w:lineRule="auto"/>
        <w:jc w:val="both"/>
        <w:rPr>
          <w:rFonts w:asciiTheme="majorHAnsi" w:hAnsiTheme="majorHAnsi" w:cs="Arial"/>
          <w:b/>
          <w:u w:val="single"/>
        </w:rPr>
      </w:pPr>
    </w:p>
    <w:p w:rsidR="0055792C" w:rsidRPr="00AC3DA1" w:rsidRDefault="0055792C" w:rsidP="0055792C">
      <w:pPr>
        <w:rPr>
          <w:rFonts w:asciiTheme="majorHAnsi" w:hAnsiTheme="majorHAnsi" w:cs="Arial"/>
          <w:b/>
        </w:rPr>
      </w:pPr>
    </w:p>
    <w:p w:rsidR="0055792C" w:rsidRPr="00AC3DA1" w:rsidRDefault="0055792C" w:rsidP="0055792C">
      <w:pPr>
        <w:rPr>
          <w:rFonts w:asciiTheme="majorHAnsi" w:hAnsiTheme="majorHAnsi" w:cs="Arial"/>
          <w:b/>
        </w:rPr>
      </w:pPr>
    </w:p>
    <w:p w:rsidR="00030349" w:rsidRPr="00AC3DA1" w:rsidRDefault="00030349" w:rsidP="00030349">
      <w:pPr>
        <w:rPr>
          <w:rFonts w:asciiTheme="majorHAnsi" w:hAnsiTheme="majorHAnsi" w:cs="Arial"/>
          <w:b/>
        </w:rPr>
      </w:pPr>
    </w:p>
    <w:p w:rsidR="000B5F78" w:rsidRPr="00AC3DA1" w:rsidRDefault="000B5F78" w:rsidP="000B5F78">
      <w:pPr>
        <w:rPr>
          <w:rFonts w:asciiTheme="majorHAnsi" w:hAnsiTheme="majorHAnsi" w:cs="Arial"/>
          <w:b/>
          <w:u w:val="single"/>
        </w:rPr>
      </w:pPr>
    </w:p>
    <w:p w:rsidR="000B5F78" w:rsidRPr="00AC3DA1" w:rsidRDefault="00E50540" w:rsidP="000B5F78">
      <w:pPr>
        <w:rPr>
          <w:rFonts w:asciiTheme="majorHAnsi" w:hAnsiTheme="majorHAnsi" w:cs="Arial"/>
          <w:b/>
          <w:u w:val="single"/>
        </w:rPr>
      </w:pPr>
      <w:r>
        <w:rPr>
          <w:rFonts w:asciiTheme="majorHAnsi" w:hAnsiTheme="majorHAnsi" w:cs="Arial"/>
          <w:b/>
          <w:u w:val="single"/>
        </w:rPr>
        <w:t>RESOURCES AND ONGOING INTIATIVES</w:t>
      </w:r>
    </w:p>
    <w:p w:rsidR="00137B59" w:rsidRDefault="00E50540" w:rsidP="00E50540">
      <w:pPr>
        <w:pStyle w:val="ListParagraph"/>
        <w:numPr>
          <w:ilvl w:val="0"/>
          <w:numId w:val="18"/>
        </w:numPr>
        <w:rPr>
          <w:rFonts w:asciiTheme="majorHAnsi" w:hAnsiTheme="majorHAnsi"/>
        </w:rPr>
      </w:pPr>
      <w:r>
        <w:rPr>
          <w:rFonts w:asciiTheme="majorHAnsi" w:hAnsiTheme="majorHAnsi"/>
        </w:rPr>
        <w:t xml:space="preserve">Evaluation of Multi-Year Planning funded by OCHA (release </w:t>
      </w:r>
      <w:proofErr w:type="spellStart"/>
      <w:r>
        <w:rPr>
          <w:rFonts w:asciiTheme="majorHAnsi" w:hAnsiTheme="majorHAnsi"/>
        </w:rPr>
        <w:t>immenent</w:t>
      </w:r>
      <w:proofErr w:type="spellEnd"/>
      <w:r>
        <w:rPr>
          <w:rFonts w:asciiTheme="majorHAnsi" w:hAnsiTheme="majorHAnsi"/>
        </w:rPr>
        <w:t>)</w:t>
      </w:r>
    </w:p>
    <w:p w:rsidR="00E50540" w:rsidRDefault="00E50540" w:rsidP="00E50540">
      <w:pPr>
        <w:pStyle w:val="ListParagraph"/>
        <w:numPr>
          <w:ilvl w:val="0"/>
          <w:numId w:val="18"/>
        </w:numPr>
        <w:rPr>
          <w:rFonts w:asciiTheme="majorHAnsi" w:hAnsiTheme="majorHAnsi"/>
        </w:rPr>
      </w:pPr>
      <w:r>
        <w:rPr>
          <w:rFonts w:asciiTheme="majorHAnsi" w:hAnsiTheme="majorHAnsi"/>
        </w:rPr>
        <w:t>Study on Multi Year Funding for Humanitarian Response Plans to be commissioned by Humanitarian Financing Task Team (projected completion date May 2017)</w:t>
      </w:r>
    </w:p>
    <w:p w:rsidR="00E50540" w:rsidRDefault="00E50540" w:rsidP="00E50540">
      <w:pPr>
        <w:pStyle w:val="ListParagraph"/>
        <w:numPr>
          <w:ilvl w:val="0"/>
          <w:numId w:val="18"/>
        </w:numPr>
        <w:rPr>
          <w:rFonts w:asciiTheme="majorHAnsi" w:hAnsiTheme="majorHAnsi"/>
        </w:rPr>
      </w:pPr>
      <w:r w:rsidRPr="00E50540">
        <w:rPr>
          <w:rFonts w:asciiTheme="majorHAnsi" w:hAnsiTheme="majorHAnsi"/>
        </w:rPr>
        <w:t>Value for Money of Multi-Year Approaches to Humanitarian Funding, Cabot-</w:t>
      </w:r>
      <w:proofErr w:type="spellStart"/>
      <w:r w:rsidRPr="00E50540">
        <w:rPr>
          <w:rFonts w:asciiTheme="majorHAnsi" w:hAnsiTheme="majorHAnsi"/>
        </w:rPr>
        <w:t>Venton</w:t>
      </w:r>
      <w:proofErr w:type="spellEnd"/>
      <w:r w:rsidRPr="00E50540">
        <w:rPr>
          <w:rFonts w:asciiTheme="majorHAnsi" w:hAnsiTheme="majorHAnsi"/>
        </w:rPr>
        <w:t>, 2013</w:t>
      </w:r>
    </w:p>
    <w:p w:rsidR="00E50540" w:rsidRDefault="00E50540" w:rsidP="00E50540">
      <w:pPr>
        <w:pStyle w:val="ListParagraph"/>
        <w:numPr>
          <w:ilvl w:val="0"/>
          <w:numId w:val="18"/>
        </w:numPr>
        <w:rPr>
          <w:rFonts w:asciiTheme="majorHAnsi" w:hAnsiTheme="majorHAnsi"/>
        </w:rPr>
      </w:pPr>
      <w:r w:rsidRPr="00E50540">
        <w:rPr>
          <w:rFonts w:asciiTheme="majorHAnsi" w:hAnsiTheme="majorHAnsi"/>
        </w:rPr>
        <w:t>Multi-year Humanitarian Business Cases-Lessons Review, CHASE, 2015.</w:t>
      </w:r>
    </w:p>
    <w:p w:rsidR="00E50540" w:rsidRDefault="00E50540" w:rsidP="00E50540">
      <w:pPr>
        <w:pStyle w:val="ListParagraph"/>
        <w:numPr>
          <w:ilvl w:val="0"/>
          <w:numId w:val="18"/>
        </w:numPr>
        <w:rPr>
          <w:rFonts w:asciiTheme="majorHAnsi" w:hAnsiTheme="majorHAnsi"/>
        </w:rPr>
      </w:pPr>
      <w:r w:rsidRPr="00E50540">
        <w:rPr>
          <w:rFonts w:asciiTheme="majorHAnsi" w:hAnsiTheme="majorHAnsi"/>
        </w:rPr>
        <w:t>Financing in Crisis? Making humanitarian finance fit for the future</w:t>
      </w:r>
      <w:r>
        <w:rPr>
          <w:rFonts w:asciiTheme="majorHAnsi" w:hAnsiTheme="majorHAnsi"/>
        </w:rPr>
        <w:t xml:space="preserve"> by Rachel Scott, OECD DAC</w:t>
      </w:r>
    </w:p>
    <w:p w:rsidR="00E50540" w:rsidRDefault="00E50540" w:rsidP="00E50540">
      <w:pPr>
        <w:pStyle w:val="ListParagraph"/>
        <w:numPr>
          <w:ilvl w:val="0"/>
          <w:numId w:val="18"/>
        </w:numPr>
        <w:rPr>
          <w:rFonts w:asciiTheme="majorHAnsi" w:hAnsiTheme="majorHAnsi"/>
        </w:rPr>
      </w:pPr>
      <w:r>
        <w:rPr>
          <w:rFonts w:asciiTheme="majorHAnsi" w:hAnsiTheme="majorHAnsi"/>
        </w:rPr>
        <w:t>OCHA Policy Brief Multi Year Planning, July 2015</w:t>
      </w:r>
    </w:p>
    <w:p w:rsidR="00E50540" w:rsidRPr="00E50540" w:rsidRDefault="00E50540" w:rsidP="00E50540">
      <w:pPr>
        <w:pStyle w:val="ListParagraph"/>
        <w:numPr>
          <w:ilvl w:val="0"/>
          <w:numId w:val="18"/>
        </w:numPr>
        <w:rPr>
          <w:rFonts w:asciiTheme="majorHAnsi" w:hAnsiTheme="majorHAnsi"/>
        </w:rPr>
      </w:pPr>
      <w:r>
        <w:rPr>
          <w:rFonts w:asciiTheme="majorHAnsi" w:hAnsiTheme="majorHAnsi"/>
        </w:rPr>
        <w:t>Multi Year Planning Tip Sheet September 20, 2016</w:t>
      </w:r>
    </w:p>
    <w:p w:rsidR="00E50540" w:rsidRPr="00E50540" w:rsidRDefault="00E50540" w:rsidP="00E50540">
      <w:pPr>
        <w:spacing w:line="240" w:lineRule="auto"/>
        <w:rPr>
          <w:rFonts w:asciiTheme="majorHAnsi" w:hAnsiTheme="majorHAnsi"/>
          <w:b/>
          <w:u w:val="single"/>
          <w:lang w:val="en-US"/>
        </w:rPr>
      </w:pPr>
    </w:p>
    <w:p w:rsidR="001F1ED1" w:rsidRPr="00794AFE" w:rsidRDefault="001F1ED1" w:rsidP="00794AFE">
      <w:pPr>
        <w:spacing w:line="240" w:lineRule="auto"/>
        <w:rPr>
          <w:rFonts w:asciiTheme="majorHAnsi" w:hAnsiTheme="majorHAnsi"/>
          <w:b/>
          <w:u w:val="single"/>
          <w:lang w:val="en-US"/>
        </w:rPr>
      </w:pPr>
      <w:r w:rsidRPr="00794AFE">
        <w:rPr>
          <w:rFonts w:asciiTheme="majorHAnsi" w:hAnsiTheme="majorHAnsi"/>
          <w:b/>
          <w:u w:val="single"/>
          <w:lang w:val="en-US"/>
        </w:rPr>
        <w:t>Membership</w:t>
      </w:r>
      <w:r w:rsidR="004A14E6" w:rsidRPr="00794AFE">
        <w:rPr>
          <w:rFonts w:asciiTheme="majorHAnsi" w:hAnsiTheme="majorHAnsi"/>
          <w:b/>
          <w:u w:val="single"/>
          <w:lang w:val="en-US"/>
        </w:rPr>
        <w:t xml:space="preserve"> (more donors may join during the process)</w:t>
      </w:r>
      <w:r w:rsidRPr="00794AFE">
        <w:rPr>
          <w:rFonts w:asciiTheme="majorHAnsi" w:hAnsiTheme="majorHAnsi"/>
          <w:b/>
          <w:u w:val="single"/>
          <w:lang w:val="en-US"/>
        </w:rPr>
        <w:t>:</w:t>
      </w:r>
    </w:p>
    <w:p w:rsidR="005A16DD" w:rsidRPr="00794AFE" w:rsidRDefault="005A16DD" w:rsidP="00794AFE">
      <w:pPr>
        <w:spacing w:line="240" w:lineRule="auto"/>
        <w:rPr>
          <w:rFonts w:asciiTheme="majorHAnsi" w:hAnsiTheme="majorHAnsi"/>
          <w:lang w:val="en-US"/>
        </w:rPr>
      </w:pPr>
      <w:r w:rsidRPr="00794AFE">
        <w:rPr>
          <w:rFonts w:asciiTheme="majorHAnsi" w:hAnsiTheme="majorHAnsi"/>
          <w:lang w:val="en-US"/>
        </w:rPr>
        <w:t xml:space="preserve">ECHO </w:t>
      </w:r>
      <w:r w:rsidR="000A3817" w:rsidRPr="00794AFE">
        <w:rPr>
          <w:rFonts w:asciiTheme="majorHAnsi" w:hAnsiTheme="majorHAnsi"/>
          <w:lang w:val="en-US"/>
        </w:rPr>
        <w:t>(co-lead)</w:t>
      </w:r>
    </w:p>
    <w:p w:rsidR="001F1ED1" w:rsidRPr="00794AFE" w:rsidRDefault="005A16DD" w:rsidP="00794AFE">
      <w:pPr>
        <w:spacing w:line="240" w:lineRule="auto"/>
        <w:rPr>
          <w:rFonts w:asciiTheme="majorHAnsi" w:hAnsiTheme="majorHAnsi"/>
          <w:lang w:val="en-US"/>
        </w:rPr>
      </w:pPr>
      <w:r w:rsidRPr="00794AFE">
        <w:rPr>
          <w:rFonts w:asciiTheme="majorHAnsi" w:hAnsiTheme="majorHAnsi"/>
          <w:lang w:val="en-US"/>
        </w:rPr>
        <w:t>Canada</w:t>
      </w:r>
      <w:r w:rsidR="000A3817" w:rsidRPr="00794AFE">
        <w:rPr>
          <w:rFonts w:asciiTheme="majorHAnsi" w:hAnsiTheme="majorHAnsi"/>
          <w:lang w:val="en-US"/>
        </w:rPr>
        <w:t xml:space="preserve"> (co-lead)</w:t>
      </w:r>
      <w:r w:rsidRPr="00794AFE">
        <w:rPr>
          <w:rFonts w:asciiTheme="majorHAnsi" w:hAnsiTheme="majorHAnsi"/>
          <w:lang w:val="en-US"/>
        </w:rPr>
        <w:t xml:space="preserve"> </w:t>
      </w:r>
    </w:p>
    <w:p w:rsidR="000A3817" w:rsidRPr="00AC3DA1" w:rsidRDefault="000A3817" w:rsidP="00794AFE">
      <w:pPr>
        <w:spacing w:line="240" w:lineRule="auto"/>
        <w:rPr>
          <w:rFonts w:asciiTheme="majorHAnsi" w:hAnsiTheme="majorHAnsi"/>
          <w:lang w:val="en-US"/>
        </w:rPr>
      </w:pPr>
      <w:r w:rsidRPr="00794AFE">
        <w:rPr>
          <w:rFonts w:asciiTheme="majorHAnsi" w:hAnsiTheme="majorHAnsi"/>
          <w:lang w:val="en-US"/>
        </w:rPr>
        <w:t>Australia (member)</w:t>
      </w:r>
    </w:p>
    <w:sectPr w:rsidR="000A3817" w:rsidRPr="00AC3DA1">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A79" w:rsidRDefault="00F70A79" w:rsidP="000A3817">
      <w:pPr>
        <w:spacing w:after="0" w:line="240" w:lineRule="auto"/>
      </w:pPr>
      <w:r>
        <w:separator/>
      </w:r>
    </w:p>
  </w:endnote>
  <w:endnote w:type="continuationSeparator" w:id="0">
    <w:p w:rsidR="00F70A79" w:rsidRDefault="00F70A79" w:rsidP="000A3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718673"/>
      <w:docPartObj>
        <w:docPartGallery w:val="Page Numbers (Bottom of Page)"/>
        <w:docPartUnique/>
      </w:docPartObj>
    </w:sdtPr>
    <w:sdtEndPr>
      <w:rPr>
        <w:noProof/>
      </w:rPr>
    </w:sdtEndPr>
    <w:sdtContent>
      <w:p w:rsidR="00673F25" w:rsidRDefault="00673F25">
        <w:pPr>
          <w:pStyle w:val="Footer"/>
          <w:jc w:val="right"/>
        </w:pPr>
        <w:r>
          <w:fldChar w:fldCharType="begin"/>
        </w:r>
        <w:r>
          <w:instrText xml:space="preserve"> PAGE   \* MERGEFORMAT </w:instrText>
        </w:r>
        <w:r>
          <w:fldChar w:fldCharType="separate"/>
        </w:r>
        <w:r w:rsidR="00255FCD">
          <w:rPr>
            <w:noProof/>
          </w:rPr>
          <w:t>1</w:t>
        </w:r>
        <w:r>
          <w:rPr>
            <w:noProof/>
          </w:rPr>
          <w:fldChar w:fldCharType="end"/>
        </w:r>
      </w:p>
    </w:sdtContent>
  </w:sdt>
  <w:p w:rsidR="00673F25" w:rsidRDefault="00673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A79" w:rsidRDefault="00F70A79" w:rsidP="000A3817">
      <w:pPr>
        <w:spacing w:after="0" w:line="240" w:lineRule="auto"/>
      </w:pPr>
      <w:r>
        <w:separator/>
      </w:r>
    </w:p>
  </w:footnote>
  <w:footnote w:type="continuationSeparator" w:id="0">
    <w:p w:rsidR="00F70A79" w:rsidRDefault="00F70A79" w:rsidP="000A3817">
      <w:pPr>
        <w:spacing w:after="0" w:line="240" w:lineRule="auto"/>
      </w:pPr>
      <w:r>
        <w:continuationSeparator/>
      </w:r>
    </w:p>
  </w:footnote>
  <w:footnote w:id="1">
    <w:p w:rsidR="008C6C28" w:rsidRPr="00C70981" w:rsidRDefault="008C6C28" w:rsidP="008C6C28">
      <w:pPr>
        <w:pStyle w:val="FootnoteText"/>
        <w:rPr>
          <w:rFonts w:ascii="Times New Roman" w:hAnsi="Times New Roman" w:cs="Times New Roman"/>
          <w:color w:val="FF0000"/>
          <w:sz w:val="16"/>
          <w:szCs w:val="16"/>
        </w:rPr>
      </w:pPr>
      <w:r w:rsidRPr="00C70981">
        <w:rPr>
          <w:rStyle w:val="FootnoteReference"/>
          <w:rFonts w:ascii="Times New Roman" w:hAnsi="Times New Roman" w:cs="Times New Roman"/>
          <w:sz w:val="16"/>
          <w:szCs w:val="16"/>
        </w:rPr>
        <w:footnoteRef/>
      </w:r>
      <w:proofErr w:type="gramStart"/>
      <w:r w:rsidRPr="00C70981">
        <w:rPr>
          <w:rFonts w:ascii="Times New Roman" w:hAnsi="Times New Roman" w:cs="Times New Roman"/>
          <w:sz w:val="16"/>
          <w:szCs w:val="16"/>
        </w:rPr>
        <w:t>Multi-year Humanitarian Business Cases-Lessons Review, CHASE, 2015.</w:t>
      </w:r>
      <w:proofErr w:type="gramEnd"/>
      <w:r w:rsidRPr="00C70981">
        <w:rPr>
          <w:rFonts w:ascii="Times New Roman" w:hAnsi="Times New Roman" w:cs="Times New Roman"/>
          <w:sz w:val="16"/>
          <w:szCs w:val="16"/>
        </w:rPr>
        <w:t xml:space="preserve"> </w:t>
      </w:r>
    </w:p>
  </w:footnote>
  <w:footnote w:id="2">
    <w:p w:rsidR="00AC3DA1" w:rsidRPr="00732AE2" w:rsidRDefault="00AC3DA1" w:rsidP="00AC3DA1">
      <w:pPr>
        <w:pStyle w:val="FootnoteText"/>
        <w:rPr>
          <w:rFonts w:ascii="Arial" w:hAnsi="Arial" w:cs="Arial"/>
          <w:sz w:val="16"/>
          <w:szCs w:val="16"/>
        </w:rPr>
      </w:pPr>
      <w:r w:rsidRPr="00732AE2">
        <w:rPr>
          <w:rStyle w:val="FootnoteReference"/>
          <w:rFonts w:ascii="Arial" w:hAnsi="Arial" w:cs="Arial"/>
          <w:sz w:val="16"/>
          <w:szCs w:val="16"/>
        </w:rPr>
        <w:footnoteRef/>
      </w:r>
      <w:r w:rsidRPr="00732AE2">
        <w:rPr>
          <w:rFonts w:ascii="Arial" w:hAnsi="Arial" w:cs="Arial"/>
          <w:sz w:val="16"/>
          <w:szCs w:val="16"/>
        </w:rPr>
        <w:t xml:space="preserve"> This can be done by having a "contingency fund" for rapid onset of emergencies </w:t>
      </w:r>
    </w:p>
  </w:footnote>
  <w:footnote w:id="3">
    <w:p w:rsidR="00AC3DA1" w:rsidRPr="0076613E" w:rsidRDefault="00AC3DA1" w:rsidP="00AC3DA1">
      <w:pPr>
        <w:pStyle w:val="FootnoteText"/>
        <w:rPr>
          <w:rFonts w:ascii="Arial" w:hAnsi="Arial" w:cs="Arial"/>
        </w:rPr>
      </w:pPr>
      <w:r w:rsidRPr="00732AE2">
        <w:rPr>
          <w:rStyle w:val="FootnoteReference"/>
          <w:rFonts w:ascii="Arial" w:hAnsi="Arial" w:cs="Arial"/>
          <w:sz w:val="16"/>
          <w:szCs w:val="16"/>
        </w:rPr>
        <w:footnoteRef/>
      </w:r>
      <w:r>
        <w:rPr>
          <w:rFonts w:ascii="Arial" w:hAnsi="Arial" w:cs="Arial"/>
          <w:sz w:val="16"/>
          <w:szCs w:val="16"/>
        </w:rPr>
        <w:t xml:space="preserve"> </w:t>
      </w:r>
      <w:r w:rsidRPr="00732AE2">
        <w:rPr>
          <w:rFonts w:ascii="Arial" w:hAnsi="Arial" w:cs="Arial"/>
          <w:sz w:val="16"/>
          <w:szCs w:val="16"/>
        </w:rPr>
        <w:t>Value for Money of Multi-Year Approaches to Humanitarian Funding, Cabot-</w:t>
      </w:r>
      <w:proofErr w:type="spellStart"/>
      <w:r w:rsidRPr="00732AE2">
        <w:rPr>
          <w:rFonts w:ascii="Arial" w:hAnsi="Arial" w:cs="Arial"/>
          <w:sz w:val="16"/>
          <w:szCs w:val="16"/>
        </w:rPr>
        <w:t>Venton</w:t>
      </w:r>
      <w:proofErr w:type="spellEnd"/>
      <w:r w:rsidRPr="00732AE2">
        <w:rPr>
          <w:rFonts w:ascii="Arial" w:hAnsi="Arial" w:cs="Arial"/>
          <w:sz w:val="16"/>
          <w:szCs w:val="16"/>
        </w:rPr>
        <w:t>, 2013</w:t>
      </w:r>
      <w:r w:rsidRPr="0076613E">
        <w:rPr>
          <w:rFonts w:ascii="Arial" w:hAnsi="Arial" w:cs="Arial"/>
        </w:rPr>
        <w:t xml:space="preserve"> </w:t>
      </w:r>
    </w:p>
  </w:footnote>
  <w:footnote w:id="4">
    <w:p w:rsidR="00AC3DA1" w:rsidRPr="00D34D9C" w:rsidRDefault="00AC3DA1" w:rsidP="00AC3DA1">
      <w:pPr>
        <w:pStyle w:val="FootnoteText"/>
        <w:rPr>
          <w:rFonts w:ascii="Arial" w:hAnsi="Arial" w:cs="Arial"/>
          <w:sz w:val="16"/>
          <w:szCs w:val="16"/>
        </w:rPr>
      </w:pPr>
      <w:r>
        <w:rPr>
          <w:rStyle w:val="FootnoteReference"/>
        </w:rPr>
        <w:footnoteRef/>
      </w:r>
      <w:r>
        <w:t xml:space="preserve"> </w:t>
      </w:r>
      <w:r w:rsidRPr="00D34D9C">
        <w:rPr>
          <w:rFonts w:ascii="Arial" w:hAnsi="Arial" w:cs="Arial"/>
          <w:sz w:val="16"/>
          <w:szCs w:val="16"/>
        </w:rPr>
        <w:t xml:space="preserve">For example, a multi-year </w:t>
      </w:r>
      <w:r>
        <w:rPr>
          <w:rFonts w:ascii="Arial" w:hAnsi="Arial" w:cs="Arial"/>
          <w:sz w:val="16"/>
          <w:szCs w:val="16"/>
        </w:rPr>
        <w:t>DFID-</w:t>
      </w:r>
      <w:r w:rsidRPr="00D34D9C">
        <w:rPr>
          <w:rFonts w:ascii="Arial" w:hAnsi="Arial" w:cs="Arial"/>
          <w:sz w:val="16"/>
          <w:szCs w:val="16"/>
        </w:rPr>
        <w:t>WFP Ethiopia programme reduced the cost of food aid (including internal transport, storage and handling cost) to $487 per metric ton, from $845 per metric ton on a yearly funded programme.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2E6"/>
    <w:multiLevelType w:val="hybridMultilevel"/>
    <w:tmpl w:val="35880AE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35760FD"/>
    <w:multiLevelType w:val="hybridMultilevel"/>
    <w:tmpl w:val="2D4AF5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65F1437"/>
    <w:multiLevelType w:val="hybridMultilevel"/>
    <w:tmpl w:val="77902D60"/>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6AE3DAE"/>
    <w:multiLevelType w:val="hybridMultilevel"/>
    <w:tmpl w:val="8A9AC518"/>
    <w:lvl w:ilvl="0" w:tplc="8F0E9DAC">
      <w:start w:val="1"/>
      <w:numFmt w:val="bullet"/>
      <w:lvlText w:val="¨"/>
      <w:lvlJc w:val="left"/>
      <w:pPr>
        <w:ind w:left="720" w:hanging="360"/>
      </w:pPr>
      <w:rPr>
        <w:rFonts w:ascii="Wingdings" w:hAnsi="Wingdings" w:hint="default"/>
      </w:rPr>
    </w:lvl>
    <w:lvl w:ilvl="1" w:tplc="8F0E9DAC">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3C7C96"/>
    <w:multiLevelType w:val="hybridMultilevel"/>
    <w:tmpl w:val="8E9EA5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0944894"/>
    <w:multiLevelType w:val="hybridMultilevel"/>
    <w:tmpl w:val="226613D4"/>
    <w:lvl w:ilvl="0" w:tplc="09A435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A70CB0"/>
    <w:multiLevelType w:val="hybridMultilevel"/>
    <w:tmpl w:val="F6F0EE1C"/>
    <w:lvl w:ilvl="0" w:tplc="08090005">
      <w:start w:val="1"/>
      <w:numFmt w:val="bullet"/>
      <w:lvlText w:val=""/>
      <w:lvlJc w:val="left"/>
      <w:pPr>
        <w:ind w:left="720" w:hanging="36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203343E"/>
    <w:multiLevelType w:val="hybridMultilevel"/>
    <w:tmpl w:val="CD96A1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7CE5BD1"/>
    <w:multiLevelType w:val="hybridMultilevel"/>
    <w:tmpl w:val="7AC08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84C5C7D"/>
    <w:multiLevelType w:val="hybridMultilevel"/>
    <w:tmpl w:val="E71801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37181D"/>
    <w:multiLevelType w:val="hybridMultilevel"/>
    <w:tmpl w:val="FA70325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49894A22"/>
    <w:multiLevelType w:val="hybridMultilevel"/>
    <w:tmpl w:val="6AE44E9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F496891"/>
    <w:multiLevelType w:val="hybridMultilevel"/>
    <w:tmpl w:val="A3FEB3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3E0660"/>
    <w:multiLevelType w:val="hybridMultilevel"/>
    <w:tmpl w:val="5EF8D7D6"/>
    <w:lvl w:ilvl="0" w:tplc="09A435D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91D00EA"/>
    <w:multiLevelType w:val="hybridMultilevel"/>
    <w:tmpl w:val="860271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733E6913"/>
    <w:multiLevelType w:val="hybridMultilevel"/>
    <w:tmpl w:val="B6068ADA"/>
    <w:lvl w:ilvl="0" w:tplc="8F0E9DA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57D0A17"/>
    <w:multiLevelType w:val="hybridMultilevel"/>
    <w:tmpl w:val="2A7AE1D0"/>
    <w:lvl w:ilvl="0" w:tplc="09A435D8">
      <w:start w:val="1"/>
      <w:numFmt w:val="bullet"/>
      <w:lvlText w:val=""/>
      <w:lvlJc w:val="left"/>
      <w:pPr>
        <w:ind w:left="720" w:hanging="360"/>
      </w:pPr>
      <w:rPr>
        <w:rFonts w:ascii="Symbol" w:hAnsi="Symbol" w:hint="default"/>
      </w:rPr>
    </w:lvl>
    <w:lvl w:ilvl="1" w:tplc="683E9974">
      <w:numFmt w:val="bullet"/>
      <w:lvlText w:val=""/>
      <w:lvlJc w:val="left"/>
      <w:pPr>
        <w:ind w:left="1440" w:hanging="360"/>
      </w:pPr>
      <w:rPr>
        <w:rFonts w:ascii="Wingdings" w:eastAsiaTheme="minorHAnsi" w:hAnsi="Wingdings" w:cs="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6590273"/>
    <w:multiLevelType w:val="hybridMultilevel"/>
    <w:tmpl w:val="326485C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4"/>
  </w:num>
  <w:num w:numId="2">
    <w:abstractNumId w:val="0"/>
  </w:num>
  <w:num w:numId="3">
    <w:abstractNumId w:val="8"/>
  </w:num>
  <w:num w:numId="4">
    <w:abstractNumId w:val="12"/>
  </w:num>
  <w:num w:numId="5">
    <w:abstractNumId w:val="17"/>
  </w:num>
  <w:num w:numId="6">
    <w:abstractNumId w:val="5"/>
  </w:num>
  <w:num w:numId="7">
    <w:abstractNumId w:val="3"/>
  </w:num>
  <w:num w:numId="8">
    <w:abstractNumId w:val="15"/>
  </w:num>
  <w:num w:numId="9">
    <w:abstractNumId w:val="16"/>
  </w:num>
  <w:num w:numId="10">
    <w:abstractNumId w:val="13"/>
  </w:num>
  <w:num w:numId="11">
    <w:abstractNumId w:val="9"/>
  </w:num>
  <w:num w:numId="12">
    <w:abstractNumId w:val="1"/>
  </w:num>
  <w:num w:numId="13">
    <w:abstractNumId w:val="4"/>
  </w:num>
  <w:num w:numId="14">
    <w:abstractNumId w:val="2"/>
  </w:num>
  <w:num w:numId="15">
    <w:abstractNumId w:val="7"/>
  </w:num>
  <w:num w:numId="16">
    <w:abstractNumId w:val="11"/>
  </w:num>
  <w:num w:numId="17">
    <w:abstractNumId w:val="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F1ED1"/>
    <w:rsid w:val="000140F6"/>
    <w:rsid w:val="00030349"/>
    <w:rsid w:val="000A3817"/>
    <w:rsid w:val="000B4A42"/>
    <w:rsid w:val="000B5F78"/>
    <w:rsid w:val="000C0535"/>
    <w:rsid w:val="00137B59"/>
    <w:rsid w:val="001646C4"/>
    <w:rsid w:val="001661A5"/>
    <w:rsid w:val="00190C8C"/>
    <w:rsid w:val="001C4F6D"/>
    <w:rsid w:val="001D4A2D"/>
    <w:rsid w:val="001F1ED1"/>
    <w:rsid w:val="00250470"/>
    <w:rsid w:val="00255FCD"/>
    <w:rsid w:val="00256AD3"/>
    <w:rsid w:val="00272A57"/>
    <w:rsid w:val="00285077"/>
    <w:rsid w:val="0028662A"/>
    <w:rsid w:val="002A783E"/>
    <w:rsid w:val="002C2AC9"/>
    <w:rsid w:val="002C3459"/>
    <w:rsid w:val="00307AEC"/>
    <w:rsid w:val="00324068"/>
    <w:rsid w:val="0033339A"/>
    <w:rsid w:val="003803DD"/>
    <w:rsid w:val="00442BCC"/>
    <w:rsid w:val="00452271"/>
    <w:rsid w:val="00464CB9"/>
    <w:rsid w:val="004A14E6"/>
    <w:rsid w:val="00504D24"/>
    <w:rsid w:val="0055792C"/>
    <w:rsid w:val="005A16DD"/>
    <w:rsid w:val="006418C3"/>
    <w:rsid w:val="00660751"/>
    <w:rsid w:val="00673F25"/>
    <w:rsid w:val="006933C2"/>
    <w:rsid w:val="006B5D38"/>
    <w:rsid w:val="006E53AB"/>
    <w:rsid w:val="00794AFE"/>
    <w:rsid w:val="008024A9"/>
    <w:rsid w:val="00886450"/>
    <w:rsid w:val="008C6C28"/>
    <w:rsid w:val="00905E10"/>
    <w:rsid w:val="009128D5"/>
    <w:rsid w:val="00924997"/>
    <w:rsid w:val="009A03B5"/>
    <w:rsid w:val="00A62905"/>
    <w:rsid w:val="00AC3DA1"/>
    <w:rsid w:val="00AD4DBA"/>
    <w:rsid w:val="00AD5498"/>
    <w:rsid w:val="00B05798"/>
    <w:rsid w:val="00B63BF6"/>
    <w:rsid w:val="00BF77A7"/>
    <w:rsid w:val="00C3206D"/>
    <w:rsid w:val="00C70981"/>
    <w:rsid w:val="00CB4CC7"/>
    <w:rsid w:val="00DB23FA"/>
    <w:rsid w:val="00DB63E0"/>
    <w:rsid w:val="00DE749C"/>
    <w:rsid w:val="00E41D51"/>
    <w:rsid w:val="00E50540"/>
    <w:rsid w:val="00E94F2C"/>
    <w:rsid w:val="00F03E5E"/>
    <w:rsid w:val="00F04667"/>
    <w:rsid w:val="00F4031D"/>
    <w:rsid w:val="00F52DC0"/>
    <w:rsid w:val="00F57C51"/>
    <w:rsid w:val="00F70A79"/>
    <w:rsid w:val="00F82946"/>
    <w:rsid w:val="00FA4F13"/>
    <w:rsid w:val="00FF7C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ED1"/>
    <w:pPr>
      <w:spacing w:after="0" w:line="240" w:lineRule="auto"/>
      <w:ind w:left="720"/>
      <w:contextualSpacing/>
    </w:pPr>
    <w:rPr>
      <w:lang w:val="en-US"/>
    </w:rPr>
  </w:style>
  <w:style w:type="paragraph" w:styleId="BalloonText">
    <w:name w:val="Balloon Text"/>
    <w:basedOn w:val="Normal"/>
    <w:link w:val="BalloonTextChar"/>
    <w:uiPriority w:val="99"/>
    <w:semiHidden/>
    <w:unhideWhenUsed/>
    <w:rsid w:val="00AD5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498"/>
    <w:rPr>
      <w:rFonts w:ascii="Tahoma" w:hAnsi="Tahoma" w:cs="Tahoma"/>
      <w:sz w:val="16"/>
      <w:szCs w:val="16"/>
    </w:rPr>
  </w:style>
  <w:style w:type="character" w:styleId="CommentReference">
    <w:name w:val="annotation reference"/>
    <w:basedOn w:val="DefaultParagraphFont"/>
    <w:uiPriority w:val="99"/>
    <w:semiHidden/>
    <w:unhideWhenUsed/>
    <w:rsid w:val="00B63BF6"/>
    <w:rPr>
      <w:sz w:val="16"/>
      <w:szCs w:val="16"/>
    </w:rPr>
  </w:style>
  <w:style w:type="paragraph" w:styleId="CommentText">
    <w:name w:val="annotation text"/>
    <w:basedOn w:val="Normal"/>
    <w:link w:val="CommentTextChar"/>
    <w:uiPriority w:val="99"/>
    <w:unhideWhenUsed/>
    <w:rsid w:val="00B63BF6"/>
    <w:pPr>
      <w:spacing w:line="240" w:lineRule="auto"/>
    </w:pPr>
    <w:rPr>
      <w:sz w:val="20"/>
      <w:szCs w:val="20"/>
    </w:rPr>
  </w:style>
  <w:style w:type="character" w:customStyle="1" w:styleId="CommentTextChar">
    <w:name w:val="Comment Text Char"/>
    <w:basedOn w:val="DefaultParagraphFont"/>
    <w:link w:val="CommentText"/>
    <w:uiPriority w:val="99"/>
    <w:rsid w:val="00B63BF6"/>
    <w:rPr>
      <w:sz w:val="20"/>
      <w:szCs w:val="20"/>
    </w:rPr>
  </w:style>
  <w:style w:type="paragraph" w:styleId="CommentSubject">
    <w:name w:val="annotation subject"/>
    <w:basedOn w:val="CommentText"/>
    <w:next w:val="CommentText"/>
    <w:link w:val="CommentSubjectChar"/>
    <w:uiPriority w:val="99"/>
    <w:semiHidden/>
    <w:unhideWhenUsed/>
    <w:rsid w:val="00B63BF6"/>
    <w:rPr>
      <w:b/>
      <w:bCs/>
    </w:rPr>
  </w:style>
  <w:style w:type="character" w:customStyle="1" w:styleId="CommentSubjectChar">
    <w:name w:val="Comment Subject Char"/>
    <w:basedOn w:val="CommentTextChar"/>
    <w:link w:val="CommentSubject"/>
    <w:uiPriority w:val="99"/>
    <w:semiHidden/>
    <w:rsid w:val="00B63BF6"/>
    <w:rPr>
      <w:b/>
      <w:bCs/>
      <w:sz w:val="20"/>
      <w:szCs w:val="20"/>
    </w:rPr>
  </w:style>
  <w:style w:type="paragraph" w:styleId="FootnoteText">
    <w:name w:val="footnote text"/>
    <w:basedOn w:val="Normal"/>
    <w:link w:val="FootnoteTextChar"/>
    <w:uiPriority w:val="99"/>
    <w:unhideWhenUsed/>
    <w:rsid w:val="002C3459"/>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2C3459"/>
    <w:rPr>
      <w:sz w:val="20"/>
      <w:szCs w:val="20"/>
      <w:lang w:val="en-GB"/>
    </w:rPr>
  </w:style>
  <w:style w:type="character" w:styleId="FootnoteReference">
    <w:name w:val="footnote reference"/>
    <w:basedOn w:val="DefaultParagraphFont"/>
    <w:uiPriority w:val="99"/>
    <w:unhideWhenUsed/>
    <w:rsid w:val="002C3459"/>
    <w:rPr>
      <w:vertAlign w:val="superscript"/>
    </w:rPr>
  </w:style>
  <w:style w:type="paragraph" w:styleId="Header">
    <w:name w:val="header"/>
    <w:basedOn w:val="Normal"/>
    <w:link w:val="HeaderChar"/>
    <w:uiPriority w:val="99"/>
    <w:unhideWhenUsed/>
    <w:rsid w:val="00673F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3F25"/>
  </w:style>
  <w:style w:type="paragraph" w:styleId="Footer">
    <w:name w:val="footer"/>
    <w:basedOn w:val="Normal"/>
    <w:link w:val="FooterChar"/>
    <w:uiPriority w:val="99"/>
    <w:unhideWhenUsed/>
    <w:rsid w:val="00673F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3F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1ED1"/>
    <w:pPr>
      <w:spacing w:after="0" w:line="240" w:lineRule="auto"/>
      <w:ind w:left="720"/>
      <w:contextualSpacing/>
    </w:pPr>
    <w:rPr>
      <w:lang w:val="en-US"/>
    </w:rPr>
  </w:style>
  <w:style w:type="paragraph" w:styleId="BalloonText">
    <w:name w:val="Balloon Text"/>
    <w:basedOn w:val="Normal"/>
    <w:link w:val="BalloonTextChar"/>
    <w:uiPriority w:val="99"/>
    <w:semiHidden/>
    <w:unhideWhenUsed/>
    <w:rsid w:val="00AD54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5498"/>
    <w:rPr>
      <w:rFonts w:ascii="Tahoma" w:hAnsi="Tahoma" w:cs="Tahoma"/>
      <w:sz w:val="16"/>
      <w:szCs w:val="16"/>
    </w:rPr>
  </w:style>
  <w:style w:type="character" w:styleId="CommentReference">
    <w:name w:val="annotation reference"/>
    <w:basedOn w:val="DefaultParagraphFont"/>
    <w:uiPriority w:val="99"/>
    <w:semiHidden/>
    <w:unhideWhenUsed/>
    <w:rsid w:val="00B63BF6"/>
    <w:rPr>
      <w:sz w:val="16"/>
      <w:szCs w:val="16"/>
    </w:rPr>
  </w:style>
  <w:style w:type="paragraph" w:styleId="CommentText">
    <w:name w:val="annotation text"/>
    <w:basedOn w:val="Normal"/>
    <w:link w:val="CommentTextChar"/>
    <w:uiPriority w:val="99"/>
    <w:unhideWhenUsed/>
    <w:rsid w:val="00B63BF6"/>
    <w:pPr>
      <w:spacing w:line="240" w:lineRule="auto"/>
    </w:pPr>
    <w:rPr>
      <w:sz w:val="20"/>
      <w:szCs w:val="20"/>
    </w:rPr>
  </w:style>
  <w:style w:type="character" w:customStyle="1" w:styleId="CommentTextChar">
    <w:name w:val="Comment Text Char"/>
    <w:basedOn w:val="DefaultParagraphFont"/>
    <w:link w:val="CommentText"/>
    <w:uiPriority w:val="99"/>
    <w:rsid w:val="00B63BF6"/>
    <w:rPr>
      <w:sz w:val="20"/>
      <w:szCs w:val="20"/>
    </w:rPr>
  </w:style>
  <w:style w:type="paragraph" w:styleId="CommentSubject">
    <w:name w:val="annotation subject"/>
    <w:basedOn w:val="CommentText"/>
    <w:next w:val="CommentText"/>
    <w:link w:val="CommentSubjectChar"/>
    <w:uiPriority w:val="99"/>
    <w:semiHidden/>
    <w:unhideWhenUsed/>
    <w:rsid w:val="00B63BF6"/>
    <w:rPr>
      <w:b/>
      <w:bCs/>
    </w:rPr>
  </w:style>
  <w:style w:type="character" w:customStyle="1" w:styleId="CommentSubjectChar">
    <w:name w:val="Comment Subject Char"/>
    <w:basedOn w:val="CommentTextChar"/>
    <w:link w:val="CommentSubject"/>
    <w:uiPriority w:val="99"/>
    <w:semiHidden/>
    <w:rsid w:val="00B63BF6"/>
    <w:rPr>
      <w:b/>
      <w:bCs/>
      <w:sz w:val="20"/>
      <w:szCs w:val="20"/>
    </w:rPr>
  </w:style>
  <w:style w:type="paragraph" w:styleId="FootnoteText">
    <w:name w:val="footnote text"/>
    <w:basedOn w:val="Normal"/>
    <w:link w:val="FootnoteTextChar"/>
    <w:uiPriority w:val="99"/>
    <w:unhideWhenUsed/>
    <w:rsid w:val="002C3459"/>
    <w:pPr>
      <w:spacing w:after="0" w:line="240" w:lineRule="auto"/>
    </w:pPr>
    <w:rPr>
      <w:sz w:val="20"/>
      <w:szCs w:val="20"/>
      <w:lang w:val="en-GB"/>
    </w:rPr>
  </w:style>
  <w:style w:type="character" w:customStyle="1" w:styleId="FootnoteTextChar">
    <w:name w:val="Footnote Text Char"/>
    <w:basedOn w:val="DefaultParagraphFont"/>
    <w:link w:val="FootnoteText"/>
    <w:uiPriority w:val="99"/>
    <w:rsid w:val="002C3459"/>
    <w:rPr>
      <w:sz w:val="20"/>
      <w:szCs w:val="20"/>
      <w:lang w:val="en-GB"/>
    </w:rPr>
  </w:style>
  <w:style w:type="character" w:styleId="FootnoteReference">
    <w:name w:val="footnote reference"/>
    <w:basedOn w:val="DefaultParagraphFont"/>
    <w:uiPriority w:val="99"/>
    <w:unhideWhenUsed/>
    <w:rsid w:val="002C3459"/>
    <w:rPr>
      <w:vertAlign w:val="superscript"/>
    </w:rPr>
  </w:style>
  <w:style w:type="paragraph" w:styleId="Header">
    <w:name w:val="header"/>
    <w:basedOn w:val="Normal"/>
    <w:link w:val="HeaderChar"/>
    <w:uiPriority w:val="99"/>
    <w:unhideWhenUsed/>
    <w:rsid w:val="00673F25"/>
    <w:pPr>
      <w:tabs>
        <w:tab w:val="center" w:pos="4536"/>
        <w:tab w:val="right" w:pos="9072"/>
      </w:tabs>
      <w:spacing w:after="0" w:line="240" w:lineRule="auto"/>
    </w:pPr>
  </w:style>
  <w:style w:type="character" w:customStyle="1" w:styleId="HeaderChar">
    <w:name w:val="Header Char"/>
    <w:basedOn w:val="DefaultParagraphFont"/>
    <w:link w:val="Header"/>
    <w:uiPriority w:val="99"/>
    <w:rsid w:val="00673F25"/>
  </w:style>
  <w:style w:type="paragraph" w:styleId="Footer">
    <w:name w:val="footer"/>
    <w:basedOn w:val="Normal"/>
    <w:link w:val="FooterChar"/>
    <w:uiPriority w:val="99"/>
    <w:unhideWhenUsed/>
    <w:rsid w:val="00673F25"/>
    <w:pPr>
      <w:tabs>
        <w:tab w:val="center" w:pos="4536"/>
        <w:tab w:val="right" w:pos="9072"/>
      </w:tabs>
      <w:spacing w:after="0" w:line="240" w:lineRule="auto"/>
    </w:pPr>
  </w:style>
  <w:style w:type="character" w:customStyle="1" w:styleId="FooterChar">
    <w:name w:val="Footer Char"/>
    <w:basedOn w:val="DefaultParagraphFont"/>
    <w:link w:val="Footer"/>
    <w:uiPriority w:val="99"/>
    <w:rsid w:val="00673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E84D3-98A6-44C1-970A-AB35B79C9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3B6E05A</Template>
  <TotalTime>1</TotalTime>
  <Pages>3</Pages>
  <Words>791</Words>
  <Characters>4704</Characters>
  <Application>Microsoft Office Word</Application>
  <DocSecurity>4</DocSecurity>
  <Lines>97</Lines>
  <Paragraphs>33</Paragraphs>
  <ScaleCrop>false</ScaleCrop>
  <HeadingPairs>
    <vt:vector size="2" baseType="variant">
      <vt:variant>
        <vt:lpstr>Title</vt:lpstr>
      </vt:variant>
      <vt:variant>
        <vt:i4>1</vt:i4>
      </vt:variant>
    </vt:vector>
  </HeadingPairs>
  <TitlesOfParts>
    <vt:vector size="1" baseType="lpstr">
      <vt:lpstr/>
    </vt:vector>
  </TitlesOfParts>
  <Company>DFAIT-MAECI</Company>
  <LinksUpToDate>false</LinksUpToDate>
  <CharactersWithSpaces>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GILLMAIR Tim (NEAR)</dc:creator>
  <cp:lastModifiedBy>Chadwick, Georgina</cp:lastModifiedBy>
  <cp:revision>2</cp:revision>
  <cp:lastPrinted>2016-11-25T16:01:00Z</cp:lastPrinted>
  <dcterms:created xsi:type="dcterms:W3CDTF">2017-06-15T13:22:00Z</dcterms:created>
  <dcterms:modified xsi:type="dcterms:W3CDTF">2017-06-15T13:22:00Z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7e1d7d3f-c88b-4ada-b74b-5e3035aff337</vt:lpwstr>
  </property>
  <property fmtid="{D5CDD505-2E9C-101B-9397-08002B2CF9AE}" pid="3" name="SEC">
    <vt:lpwstr>UNCLASSIFIED</vt:lpwstr>
  </property>
  <property fmtid="{D5CDD505-2E9C-101B-9397-08002B2CF9AE}" pid="4" name="DLM">
    <vt:lpwstr>No DLM</vt:lpwstr>
  </property>
</Properties>
</file>